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7C5" w14:textId="78374F5E" w:rsidR="00050324" w:rsidRDefault="00050324"/>
    <w:p w14:paraId="34C907CA" w14:textId="2811642F"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8E191A">
        <w:rPr>
          <w:rFonts w:ascii="Arial" w:hAnsi="Arial" w:cs="Arial"/>
          <w:b/>
        </w:rPr>
        <w:t>45/2022</w:t>
      </w:r>
    </w:p>
    <w:p w14:paraId="1F3CA534" w14:textId="7DF6AB9B" w:rsidR="00A145D4" w:rsidRPr="00F35FF0" w:rsidRDefault="00A145D4" w:rsidP="00A145D4">
      <w:pPr>
        <w:jc w:val="center"/>
        <w:rPr>
          <w:rFonts w:ascii="Arial" w:hAnsi="Arial" w:cs="Arial"/>
          <w:b/>
        </w:rPr>
      </w:pPr>
      <w:r w:rsidRPr="00F35FF0">
        <w:rPr>
          <w:rFonts w:ascii="Arial" w:hAnsi="Arial" w:cs="Arial"/>
          <w:b/>
        </w:rPr>
        <w:t>TOMADA DE PREÇOS</w:t>
      </w:r>
      <w:r w:rsidR="003A7C68">
        <w:rPr>
          <w:rFonts w:ascii="Arial" w:hAnsi="Arial" w:cs="Arial"/>
          <w:b/>
        </w:rPr>
        <w:t xml:space="preserve"> </w:t>
      </w:r>
      <w:r w:rsidR="008E191A">
        <w:rPr>
          <w:rFonts w:ascii="Arial" w:hAnsi="Arial" w:cs="Arial"/>
          <w:b/>
        </w:rPr>
        <w:t>12/2022</w:t>
      </w:r>
    </w:p>
    <w:p w14:paraId="673B91F4" w14:textId="4699EF9E"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2F3BEB">
        <w:rPr>
          <w:rFonts w:ascii="Arial" w:hAnsi="Arial" w:cs="Arial"/>
          <w:color w:val="000000"/>
          <w:sz w:val="22"/>
          <w:szCs w:val="22"/>
        </w:rPr>
        <w:t xml:space="preserve">o </w:t>
      </w:r>
      <w:proofErr w:type="spellStart"/>
      <w:r w:rsidR="002F3BEB">
        <w:rPr>
          <w:rFonts w:ascii="Arial" w:hAnsi="Arial" w:cs="Arial"/>
          <w:color w:val="000000"/>
          <w:sz w:val="22"/>
          <w:szCs w:val="22"/>
        </w:rPr>
        <w:t>Municipio</w:t>
      </w:r>
      <w:proofErr w:type="spellEnd"/>
      <w:r w:rsidR="002F3BEB">
        <w:rPr>
          <w:rFonts w:ascii="Arial" w:hAnsi="Arial" w:cs="Arial"/>
          <w:color w:val="000000"/>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2F3BEB">
        <w:rPr>
          <w:rFonts w:ascii="Arial" w:hAnsi="Arial" w:cs="Arial"/>
          <w:sz w:val="22"/>
          <w:szCs w:val="22"/>
        </w:rPr>
        <w:t>95.949.809/0001-37</w:t>
      </w:r>
      <w:r w:rsidRPr="00ED376D">
        <w:rPr>
          <w:rFonts w:ascii="Arial" w:hAnsi="Arial" w:cs="Arial"/>
          <w:sz w:val="22"/>
          <w:szCs w:val="22"/>
        </w:rPr>
        <w:t xml:space="preserve">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00A9386F">
        <w:rPr>
          <w:rFonts w:ascii="Arial" w:hAnsi="Arial" w:cs="Arial"/>
          <w:b/>
          <w:bCs/>
          <w:iCs/>
          <w:color w:val="000000"/>
          <w:sz w:val="22"/>
          <w:szCs w:val="22"/>
        </w:rPr>
        <w:t xml:space="preserve"> </w:t>
      </w:r>
      <w:r w:rsidR="00C755BF">
        <w:rPr>
          <w:rFonts w:ascii="Arial" w:hAnsi="Arial" w:cs="Arial"/>
          <w:b/>
          <w:bCs/>
          <w:iCs/>
          <w:color w:val="000000"/>
          <w:sz w:val="22"/>
          <w:szCs w:val="22"/>
        </w:rPr>
        <w:t>unitário</w:t>
      </w:r>
      <w:r w:rsidR="00A9386F">
        <w:rPr>
          <w:rFonts w:ascii="Arial" w:hAnsi="Arial" w:cs="Arial"/>
          <w:b/>
          <w:bCs/>
          <w:iCs/>
          <w:color w:val="000000"/>
          <w:sz w:val="22"/>
          <w:szCs w:val="22"/>
        </w:rPr>
        <w:t xml:space="preserve"> </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de documentação e proposta de preços, no dia </w:t>
      </w:r>
      <w:r w:rsidR="008E191A">
        <w:rPr>
          <w:rFonts w:ascii="Arial" w:hAnsi="Arial" w:cs="Arial"/>
          <w:b/>
          <w:iCs/>
          <w:color w:val="000000"/>
          <w:sz w:val="22"/>
          <w:szCs w:val="22"/>
        </w:rPr>
        <w:t>15</w:t>
      </w:r>
      <w:r w:rsidR="00254554" w:rsidRPr="00C93AC4">
        <w:rPr>
          <w:rFonts w:ascii="Arial" w:hAnsi="Arial" w:cs="Arial"/>
          <w:b/>
          <w:iCs/>
          <w:color w:val="000000"/>
          <w:sz w:val="22"/>
          <w:szCs w:val="22"/>
        </w:rPr>
        <w:t xml:space="preserve"> </w:t>
      </w:r>
      <w:r w:rsidR="00F124F9">
        <w:rPr>
          <w:rFonts w:ascii="Arial" w:hAnsi="Arial" w:cs="Arial"/>
          <w:b/>
          <w:iCs/>
          <w:color w:val="000000"/>
          <w:sz w:val="22"/>
          <w:szCs w:val="22"/>
        </w:rPr>
        <w:t xml:space="preserve">de </w:t>
      </w:r>
      <w:r w:rsidR="00EE18E3">
        <w:rPr>
          <w:rFonts w:ascii="Arial" w:hAnsi="Arial" w:cs="Arial"/>
          <w:b/>
          <w:iCs/>
          <w:color w:val="000000"/>
          <w:sz w:val="22"/>
          <w:szCs w:val="22"/>
        </w:rPr>
        <w:t>junho</w:t>
      </w:r>
      <w:r w:rsidR="00254554" w:rsidRPr="00C93AC4">
        <w:rPr>
          <w:rFonts w:ascii="Arial" w:hAnsi="Arial" w:cs="Arial"/>
          <w:b/>
          <w:iCs/>
          <w:color w:val="000000"/>
          <w:sz w:val="22"/>
          <w:szCs w:val="22"/>
        </w:rPr>
        <w:t xml:space="preserve"> de 20</w:t>
      </w:r>
      <w:r w:rsidR="002F3BEB" w:rsidRPr="00C93AC4">
        <w:rPr>
          <w:rFonts w:ascii="Arial" w:hAnsi="Arial" w:cs="Arial"/>
          <w:b/>
          <w:iCs/>
          <w:color w:val="000000"/>
          <w:sz w:val="22"/>
          <w:szCs w:val="22"/>
        </w:rPr>
        <w:t>2</w:t>
      </w:r>
      <w:r w:rsidR="00125D29" w:rsidRPr="00C93AC4">
        <w:rPr>
          <w:rFonts w:ascii="Arial" w:hAnsi="Arial" w:cs="Arial"/>
          <w:b/>
          <w:iCs/>
          <w:color w:val="000000"/>
          <w:sz w:val="22"/>
          <w:szCs w:val="22"/>
        </w:rPr>
        <w:t>2</w:t>
      </w:r>
      <w:r w:rsidR="00254554" w:rsidRPr="00C93AC4">
        <w:rPr>
          <w:rFonts w:ascii="Arial" w:hAnsi="Arial" w:cs="Arial"/>
          <w:b/>
          <w:iCs/>
          <w:color w:val="000000"/>
          <w:sz w:val="22"/>
          <w:szCs w:val="22"/>
        </w:rPr>
        <w:t xml:space="preserve"> as </w:t>
      </w:r>
      <w:r w:rsidR="008E191A">
        <w:rPr>
          <w:rFonts w:ascii="Arial" w:hAnsi="Arial" w:cs="Arial"/>
          <w:b/>
          <w:iCs/>
          <w:color w:val="000000"/>
          <w:sz w:val="22"/>
          <w:szCs w:val="22"/>
        </w:rPr>
        <w:t>10</w:t>
      </w:r>
      <w:r w:rsidR="00C93AC4" w:rsidRPr="00C93AC4">
        <w:rPr>
          <w:rFonts w:ascii="Arial" w:hAnsi="Arial" w:cs="Arial"/>
          <w:b/>
          <w:iCs/>
          <w:color w:val="000000"/>
          <w:sz w:val="22"/>
          <w:szCs w:val="22"/>
        </w:rPr>
        <w:t>h</w:t>
      </w:r>
      <w:r w:rsidR="008E191A">
        <w:rPr>
          <w:rFonts w:ascii="Arial" w:hAnsi="Arial" w:cs="Arial"/>
          <w:b/>
          <w:iCs/>
          <w:color w:val="000000"/>
          <w:sz w:val="22"/>
          <w:szCs w:val="22"/>
        </w:rPr>
        <w:t>3</w:t>
      </w:r>
      <w:r w:rsidR="00C93AC4" w:rsidRPr="00C93AC4">
        <w:rPr>
          <w:rFonts w:ascii="Arial" w:hAnsi="Arial" w:cs="Arial"/>
          <w:b/>
          <w:iCs/>
          <w:color w:val="000000"/>
          <w:sz w:val="22"/>
          <w:szCs w:val="22"/>
        </w:rPr>
        <w:t>0</w:t>
      </w:r>
      <w:r w:rsidR="00254554" w:rsidRPr="00C93AC4">
        <w:rPr>
          <w:rFonts w:ascii="Arial" w:hAnsi="Arial" w:cs="Arial"/>
          <w:b/>
          <w:iCs/>
          <w:color w:val="000000"/>
          <w:sz w:val="22"/>
          <w:szCs w:val="22"/>
        </w:rPr>
        <w:t xml:space="preserve">mim </w:t>
      </w:r>
      <w:r w:rsidR="00254554">
        <w:rPr>
          <w:rFonts w:ascii="Arial" w:hAnsi="Arial" w:cs="Arial"/>
          <w:bCs/>
          <w:iCs/>
          <w:color w:val="000000"/>
          <w:sz w:val="22"/>
          <w:szCs w:val="22"/>
        </w:rPr>
        <w:t>na sala de licitações d</w:t>
      </w:r>
      <w:r w:rsidR="002F3BEB">
        <w:rPr>
          <w:rFonts w:ascii="Arial" w:hAnsi="Arial" w:cs="Arial"/>
          <w:bCs/>
          <w:iCs/>
          <w:color w:val="000000"/>
          <w:sz w:val="22"/>
          <w:szCs w:val="22"/>
        </w:rPr>
        <w:t xml:space="preserve">o </w:t>
      </w:r>
      <w:r w:rsidR="00254554">
        <w:rPr>
          <w:rFonts w:ascii="Arial" w:hAnsi="Arial" w:cs="Arial"/>
          <w:bCs/>
          <w:iCs/>
          <w:color w:val="000000"/>
          <w:sz w:val="22"/>
          <w:szCs w:val="22"/>
        </w:rPr>
        <w:t xml:space="preserve"> </w:t>
      </w:r>
      <w:r w:rsidR="00E4059E">
        <w:rPr>
          <w:rFonts w:ascii="Arial" w:hAnsi="Arial" w:cs="Arial"/>
          <w:bCs/>
          <w:iCs/>
          <w:color w:val="000000"/>
          <w:sz w:val="22"/>
          <w:szCs w:val="22"/>
        </w:rPr>
        <w:t>Município</w:t>
      </w:r>
      <w:r w:rsidR="002F3BEB">
        <w:rPr>
          <w:rFonts w:ascii="Arial" w:hAnsi="Arial" w:cs="Arial"/>
          <w:bCs/>
          <w:iCs/>
          <w:color w:val="000000"/>
          <w:sz w:val="22"/>
          <w:szCs w:val="22"/>
        </w:rPr>
        <w:t xml:space="preserve"> de Calmon</w:t>
      </w:r>
      <w:r w:rsidR="00254554">
        <w:rPr>
          <w:rFonts w:ascii="Arial" w:hAnsi="Arial" w:cs="Arial"/>
          <w:bCs/>
          <w:iCs/>
          <w:color w:val="000000"/>
          <w:sz w:val="22"/>
          <w:szCs w:val="22"/>
        </w:rPr>
        <w:t xml:space="preserve">,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EE18E3">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EE18E3">
        <w:trPr>
          <w:trHeight w:val="2222"/>
        </w:trPr>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0EBDABC8" w14:textId="4527A803" w:rsidR="00A145D4" w:rsidRDefault="00481544" w:rsidP="00050324">
            <w:pPr>
              <w:pStyle w:val="Standard"/>
              <w:suppressAutoHyphens w:val="0"/>
              <w:jc w:val="both"/>
            </w:pPr>
            <w:r w:rsidRPr="00481544">
              <w:rPr>
                <w:b/>
                <w:bCs/>
                <w:sz w:val="23"/>
              </w:rPr>
              <w:t>CONSTRUÇÃO DE QUADRA DE AREIA E CANCHA DE BOCHA  NO ASSENTAMENTO</w:t>
            </w:r>
            <w:r w:rsidR="008E191A">
              <w:rPr>
                <w:b/>
                <w:bCs/>
                <w:sz w:val="23"/>
              </w:rPr>
              <w:t xml:space="preserve"> E UMA NACIDADE</w:t>
            </w:r>
            <w:r w:rsidRPr="00481544">
              <w:rPr>
                <w:b/>
                <w:bCs/>
                <w:sz w:val="23"/>
              </w:rPr>
              <w:t>.</w:t>
            </w:r>
            <w:r w:rsidR="00ED12B5">
              <w:rPr>
                <w:rFonts w:ascii="Arial" w:hAnsi="Arial" w:cs="Arial"/>
              </w:rPr>
              <w:t xml:space="preserve">1. </w:t>
            </w:r>
            <w:r w:rsidR="00A145D4">
              <w:rPr>
                <w:rFonts w:ascii="Arial" w:hAnsi="Arial" w:cs="Arial"/>
                <w:b/>
                <w:iCs/>
                <w:color w:val="000000"/>
                <w:sz w:val="22"/>
                <w:szCs w:val="22"/>
              </w:rPr>
              <w:t>Prazo de Execução</w:t>
            </w:r>
            <w:r w:rsidR="00A145D4">
              <w:rPr>
                <w:rFonts w:ascii="Arial" w:hAnsi="Arial" w:cs="Arial"/>
                <w:iCs/>
                <w:color w:val="000000"/>
                <w:sz w:val="22"/>
                <w:szCs w:val="22"/>
              </w:rPr>
              <w:t xml:space="preserve">: </w:t>
            </w:r>
            <w:r w:rsidR="00EE18E3">
              <w:rPr>
                <w:rFonts w:ascii="Arial" w:hAnsi="Arial" w:cs="Arial"/>
                <w:iCs/>
                <w:color w:val="000000"/>
                <w:sz w:val="22"/>
                <w:szCs w:val="22"/>
              </w:rPr>
              <w:t>180</w:t>
            </w:r>
            <w:r w:rsidR="00A145D4">
              <w:rPr>
                <w:rFonts w:ascii="Arial" w:hAnsi="Arial" w:cs="Arial"/>
                <w:iCs/>
                <w:color w:val="000000"/>
                <w:sz w:val="22"/>
                <w:szCs w:val="22"/>
              </w:rPr>
              <w:t xml:space="preserve"> </w:t>
            </w:r>
            <w:r w:rsidR="00C1448F">
              <w:rPr>
                <w:rFonts w:ascii="Arial" w:hAnsi="Arial" w:cs="Arial"/>
                <w:iCs/>
                <w:color w:val="000000"/>
                <w:sz w:val="22"/>
                <w:szCs w:val="22"/>
              </w:rPr>
              <w:t xml:space="preserve">( </w:t>
            </w:r>
            <w:r w:rsidR="00EE18E3">
              <w:rPr>
                <w:rFonts w:ascii="Arial" w:hAnsi="Arial" w:cs="Arial"/>
                <w:iCs/>
                <w:color w:val="000000"/>
                <w:sz w:val="22"/>
                <w:szCs w:val="22"/>
              </w:rPr>
              <w:t xml:space="preserve">CENTO E OITENTA DIAS </w:t>
            </w:r>
            <w:r w:rsidR="00C1448F">
              <w:rPr>
                <w:rFonts w:ascii="Arial" w:hAnsi="Arial" w:cs="Arial"/>
                <w:iCs/>
                <w:color w:val="000000"/>
                <w:sz w:val="22"/>
                <w:szCs w:val="22"/>
              </w:rPr>
              <w:t xml:space="preserve"> </w:t>
            </w:r>
            <w:r w:rsidR="00A9386F">
              <w:rPr>
                <w:rFonts w:ascii="Arial" w:hAnsi="Arial" w:cs="Arial"/>
                <w:iCs/>
                <w:color w:val="000000"/>
                <w:sz w:val="22"/>
                <w:szCs w:val="22"/>
              </w:rPr>
              <w:t>)</w:t>
            </w:r>
            <w:r w:rsidR="00A145D4">
              <w:rPr>
                <w:rFonts w:ascii="Arial" w:hAnsi="Arial" w:cs="Arial"/>
                <w:iCs/>
                <w:color w:val="000000"/>
                <w:sz w:val="22"/>
                <w:szCs w:val="22"/>
              </w:rPr>
              <w:t xml:space="preserve"> dias corridos, contados da emissão da Ordem de Serviços;</w:t>
            </w:r>
          </w:p>
          <w:p w14:paraId="2BCE7FE5" w14:textId="5F5587B5" w:rsidR="00C755BF" w:rsidRDefault="00A145D4" w:rsidP="00AA510A">
            <w:pPr>
              <w:pStyle w:val="Standard"/>
              <w:jc w:val="both"/>
              <w:rPr>
                <w:rFonts w:ascii="Arial" w:hAnsi="Arial" w:cs="Arial"/>
                <w:iCs/>
                <w:color w:val="000000"/>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 xml:space="preserve">R$ </w:t>
            </w:r>
            <w:r w:rsidR="008E191A">
              <w:rPr>
                <w:b/>
                <w:bCs/>
              </w:rPr>
              <w:t>2</w:t>
            </w:r>
            <w:r w:rsidR="00481544">
              <w:rPr>
                <w:b/>
                <w:bCs/>
              </w:rPr>
              <w:t>98.</w:t>
            </w:r>
            <w:r w:rsidR="008E191A">
              <w:rPr>
                <w:b/>
                <w:bCs/>
              </w:rPr>
              <w:t>178.80</w:t>
            </w:r>
            <w:r w:rsidR="00B635AB" w:rsidRPr="00B94381">
              <w:rPr>
                <w:rFonts w:ascii="Arial" w:hAnsi="Arial" w:cs="Arial"/>
                <w:b/>
                <w:bCs/>
                <w:iCs/>
                <w:color w:val="000000"/>
                <w:sz w:val="22"/>
                <w:szCs w:val="22"/>
              </w:rPr>
              <w:t>(</w:t>
            </w:r>
            <w:r w:rsidR="008E191A">
              <w:rPr>
                <w:rFonts w:ascii="Arial" w:hAnsi="Arial" w:cs="Arial"/>
                <w:b/>
                <w:bCs/>
                <w:iCs/>
                <w:color w:val="000000"/>
                <w:sz w:val="22"/>
                <w:szCs w:val="22"/>
              </w:rPr>
              <w:t>duzentos e noventa e oito mil cento e setenta e oito reais e oitenta centavos</w:t>
            </w:r>
            <w:r w:rsidR="00C1448F">
              <w:rPr>
                <w:rFonts w:ascii="Arial" w:hAnsi="Arial" w:cs="Arial"/>
                <w:b/>
                <w:bCs/>
                <w:iCs/>
                <w:color w:val="000000"/>
                <w:sz w:val="22"/>
                <w:szCs w:val="22"/>
              </w:rPr>
              <w:t xml:space="preserve"> </w:t>
            </w:r>
            <w:r w:rsidRPr="00524C20">
              <w:rPr>
                <w:rFonts w:ascii="Arial" w:hAnsi="Arial" w:cs="Arial"/>
                <w:iCs/>
                <w:color w:val="000000"/>
                <w:sz w:val="22"/>
                <w:szCs w:val="22"/>
              </w:rPr>
              <w:t>)</w:t>
            </w:r>
            <w:r w:rsidR="00E03D48">
              <w:rPr>
                <w:rFonts w:ascii="Arial" w:hAnsi="Arial" w:cs="Arial"/>
                <w:iCs/>
                <w:color w:val="000000"/>
                <w:sz w:val="22"/>
                <w:szCs w:val="22"/>
              </w:rPr>
              <w:t xml:space="preserve"> SENDO:</w:t>
            </w:r>
          </w:p>
          <w:p w14:paraId="2C9E52E0" w14:textId="5239D535" w:rsidR="00EE18E3" w:rsidRDefault="0017196F" w:rsidP="00AA510A">
            <w:pPr>
              <w:pStyle w:val="Standard"/>
              <w:jc w:val="both"/>
              <w:rPr>
                <w:rFonts w:ascii="Arial" w:hAnsi="Arial" w:cs="Arial"/>
                <w:iCs/>
                <w:color w:val="000000"/>
                <w:sz w:val="22"/>
                <w:szCs w:val="22"/>
              </w:rPr>
            </w:pPr>
            <w:r>
              <w:rPr>
                <w:rFonts w:ascii="Arial" w:hAnsi="Arial" w:cs="Arial"/>
                <w:iCs/>
                <w:color w:val="000000"/>
                <w:sz w:val="22"/>
                <w:szCs w:val="22"/>
              </w:rPr>
              <w:t>O valor máximo de cada  cancha de bocha estimado em R$ 100.000,00(cem mil reais)</w:t>
            </w:r>
          </w:p>
          <w:p w14:paraId="0FB52F65" w14:textId="13138588" w:rsidR="0017196F" w:rsidRDefault="0017196F" w:rsidP="00AA510A">
            <w:pPr>
              <w:pStyle w:val="Standard"/>
              <w:jc w:val="both"/>
              <w:rPr>
                <w:rFonts w:ascii="Arial" w:hAnsi="Arial" w:cs="Arial"/>
                <w:iCs/>
                <w:color w:val="000000"/>
                <w:sz w:val="22"/>
                <w:szCs w:val="22"/>
              </w:rPr>
            </w:pPr>
            <w:r>
              <w:rPr>
                <w:rFonts w:ascii="Arial" w:hAnsi="Arial" w:cs="Arial"/>
                <w:iCs/>
                <w:color w:val="000000"/>
                <w:sz w:val="22"/>
                <w:szCs w:val="22"/>
              </w:rPr>
              <w:t>O Valor máximo estimado para a quadra de areia R$ 98.178,80( noventa e oito mil cento e setenta e oito reais e oitenta centavos.</w:t>
            </w:r>
          </w:p>
          <w:p w14:paraId="7E056BDD" w14:textId="4FDB006E" w:rsidR="00254554" w:rsidRDefault="00254554" w:rsidP="00EE18E3">
            <w:pPr>
              <w:pStyle w:val="Standard"/>
              <w:jc w:val="both"/>
            </w:pPr>
          </w:p>
        </w:tc>
      </w:tr>
    </w:tbl>
    <w:p w14:paraId="1C99DEE1" w14:textId="6EF66E59"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lastRenderedPageBreak/>
        <w:t>2.2.3.1. No caso da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lastRenderedPageBreak/>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305994FD"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CD3312">
        <w:rPr>
          <w:rFonts w:ascii="Arial" w:hAnsi="Arial" w:cs="Arial"/>
          <w:b/>
          <w:bCs/>
          <w:sz w:val="22"/>
          <w:szCs w:val="22"/>
        </w:rPr>
        <w:t xml:space="preserve"> A visita </w:t>
      </w:r>
      <w:r w:rsidR="008E191A">
        <w:rPr>
          <w:rFonts w:ascii="Arial" w:hAnsi="Arial" w:cs="Arial"/>
          <w:b/>
          <w:bCs/>
          <w:sz w:val="22"/>
          <w:szCs w:val="22"/>
        </w:rPr>
        <w:t>deverá</w:t>
      </w:r>
      <w:r w:rsidR="00CD3312">
        <w:rPr>
          <w:rFonts w:ascii="Arial" w:hAnsi="Arial" w:cs="Arial"/>
          <w:b/>
          <w:bCs/>
          <w:sz w:val="22"/>
          <w:szCs w:val="22"/>
        </w:rPr>
        <w:t xml:space="preserve"> ser realizada  acompanhada </w:t>
      </w:r>
      <w:r w:rsidR="004D5FB6">
        <w:rPr>
          <w:rFonts w:ascii="Arial" w:hAnsi="Arial" w:cs="Arial"/>
          <w:b/>
          <w:bCs/>
          <w:sz w:val="22"/>
          <w:szCs w:val="22"/>
        </w:rPr>
        <w:t xml:space="preserve">por funcionário da </w:t>
      </w:r>
      <w:r w:rsidR="00E03D48">
        <w:rPr>
          <w:rFonts w:ascii="Arial" w:hAnsi="Arial" w:cs="Arial"/>
          <w:b/>
          <w:bCs/>
          <w:sz w:val="22"/>
          <w:szCs w:val="22"/>
        </w:rPr>
        <w:t>Prefeitura</w:t>
      </w:r>
      <w:r w:rsidR="00CD3312">
        <w:rPr>
          <w:rFonts w:ascii="Arial" w:hAnsi="Arial" w:cs="Arial"/>
          <w:b/>
          <w:bCs/>
          <w:sz w:val="22"/>
          <w:szCs w:val="22"/>
        </w:rPr>
        <w:t xml:space="preserve"> da </w:t>
      </w:r>
      <w:r w:rsidR="00A9386F">
        <w:rPr>
          <w:rFonts w:ascii="Arial" w:hAnsi="Arial" w:cs="Arial"/>
          <w:b/>
          <w:bCs/>
          <w:sz w:val="22"/>
          <w:szCs w:val="22"/>
        </w:rPr>
        <w:t>Município</w:t>
      </w:r>
      <w:r w:rsidR="002F3BEB">
        <w:rPr>
          <w:rFonts w:ascii="Arial" w:hAnsi="Arial" w:cs="Arial"/>
          <w:b/>
          <w:bCs/>
          <w:sz w:val="22"/>
          <w:szCs w:val="22"/>
        </w:rPr>
        <w:t xml:space="preserve"> de Calmon</w:t>
      </w:r>
      <w:r w:rsidR="00CD3312">
        <w:rPr>
          <w:rFonts w:ascii="Arial" w:hAnsi="Arial" w:cs="Arial"/>
          <w:b/>
          <w:bCs/>
          <w:sz w:val="22"/>
          <w:szCs w:val="22"/>
        </w:rPr>
        <w:t>.</w:t>
      </w:r>
      <w:r w:rsidR="0007354E">
        <w:rPr>
          <w:rFonts w:ascii="Arial" w:hAnsi="Arial" w:cs="Arial"/>
          <w:b/>
          <w:bCs/>
          <w:sz w:val="22"/>
          <w:szCs w:val="22"/>
        </w:rPr>
        <w:t xml:space="preserve"> A visita deverá ser agendada</w:t>
      </w:r>
      <w:r w:rsidR="004D5FB6">
        <w:rPr>
          <w:rFonts w:ascii="Arial" w:hAnsi="Arial" w:cs="Arial"/>
          <w:b/>
          <w:bCs/>
          <w:sz w:val="22"/>
          <w:szCs w:val="22"/>
        </w:rPr>
        <w:t xml:space="preserve"> pelo telefone (49) 3573-0030 ou (49) 3573-0179 ou no setor de licitação da </w:t>
      </w:r>
      <w:r w:rsidR="00E03D48">
        <w:rPr>
          <w:rFonts w:ascii="Arial" w:hAnsi="Arial" w:cs="Arial"/>
          <w:b/>
          <w:bCs/>
          <w:sz w:val="22"/>
          <w:szCs w:val="22"/>
        </w:rPr>
        <w:t>prefeitura.</w:t>
      </w:r>
    </w:p>
    <w:p w14:paraId="1084A18C" w14:textId="6A55FA1D"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w:t>
      </w:r>
      <w:r w:rsidR="00F43F90">
        <w:rPr>
          <w:rStyle w:val="Fontepargpadro1"/>
          <w:rFonts w:ascii="Arial" w:hAnsi="Arial" w:cs="Arial"/>
          <w:iCs/>
          <w:sz w:val="22"/>
          <w:highlight w:val="white"/>
        </w:rPr>
        <w:t xml:space="preserve"> ou o </w:t>
      </w:r>
      <w:r w:rsidR="00C755BF">
        <w:rPr>
          <w:rStyle w:val="Fontepargpadro1"/>
          <w:rFonts w:ascii="Arial" w:hAnsi="Arial" w:cs="Arial"/>
          <w:iCs/>
          <w:sz w:val="22"/>
          <w:highlight w:val="white"/>
        </w:rPr>
        <w:t>profissional</w:t>
      </w:r>
      <w:r>
        <w:rPr>
          <w:rStyle w:val="Fontepargpadro1"/>
          <w:rFonts w:ascii="Arial" w:hAnsi="Arial" w:cs="Arial"/>
          <w:iCs/>
          <w:sz w:val="22"/>
          <w:highlight w:val="white"/>
        </w:rPr>
        <w:t xml:space="preserve">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1,0 (um vírgula zero), obtido através do Balanço Patrimonial e Demonstração </w:t>
      </w:r>
      <w:r>
        <w:rPr>
          <w:rFonts w:ascii="Arial" w:hAnsi="Arial" w:cs="Arial"/>
          <w:sz w:val="22"/>
          <w:szCs w:val="22"/>
          <w:shd w:val="clear" w:color="auto" w:fill="FFFFFF"/>
        </w:rPr>
        <w:lastRenderedPageBreak/>
        <w:t>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ELP)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situação  financeira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 xml:space="preserve">Os documentos exigidos nos itens 3.1.1, 3.1.2 e 3.1.4, “a”,  poderão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w:t>
      </w:r>
      <w:r w:rsidRPr="005C09FD">
        <w:rPr>
          <w:rFonts w:ascii="Arial" w:hAnsi="Arial" w:cs="Arial"/>
          <w:b/>
          <w:bCs/>
          <w:sz w:val="22"/>
          <w:szCs w:val="22"/>
        </w:rPr>
        <w:t>CRC</w:t>
      </w:r>
      <w:r>
        <w:rPr>
          <w:rFonts w:ascii="Arial" w:hAnsi="Arial" w:cs="Arial"/>
          <w:sz w:val="22"/>
          <w:szCs w:val="22"/>
        </w:rPr>
        <w:t>,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520ECF28" w:rsidR="00A145D4" w:rsidRDefault="00A145D4" w:rsidP="00A145D4">
      <w:pPr>
        <w:jc w:val="both"/>
      </w:pPr>
      <w:r>
        <w:rPr>
          <w:rFonts w:ascii="Arial" w:eastAsia="Arial" w:hAnsi="Arial" w:cs="Arial"/>
          <w:b/>
          <w:sz w:val="22"/>
          <w:szCs w:val="22"/>
        </w:rPr>
        <w:t xml:space="preserve">         </w:t>
      </w:r>
      <w:r w:rsidR="002F3BEB">
        <w:rPr>
          <w:rFonts w:ascii="Arial" w:hAnsi="Arial" w:cs="Arial"/>
          <w:b/>
          <w:sz w:val="22"/>
          <w:szCs w:val="22"/>
        </w:rPr>
        <w:t>MUNICIPIO DE CALMON</w:t>
      </w:r>
      <w:r>
        <w:rPr>
          <w:rFonts w:ascii="Arial" w:hAnsi="Arial" w:cs="Arial"/>
          <w:b/>
          <w:sz w:val="22"/>
          <w:szCs w:val="22"/>
        </w:rPr>
        <w:t>/SC</w:t>
      </w:r>
    </w:p>
    <w:p w14:paraId="18E279B4" w14:textId="6CBD2BC5" w:rsidR="00A145D4" w:rsidRDefault="00A145D4" w:rsidP="00A145D4">
      <w:pPr>
        <w:pStyle w:val="Corpodetexto22"/>
        <w:spacing w:line="240" w:lineRule="auto"/>
      </w:pPr>
      <w:r>
        <w:rPr>
          <w:rFonts w:eastAsia="Arial"/>
          <w:b/>
          <w:sz w:val="22"/>
          <w:szCs w:val="22"/>
        </w:rPr>
        <w:t xml:space="preserve">         </w:t>
      </w:r>
      <w:r>
        <w:rPr>
          <w:b/>
          <w:sz w:val="22"/>
          <w:szCs w:val="22"/>
        </w:rPr>
        <w:t>TOMADA DE PREÇOS Nº</w:t>
      </w:r>
      <w:r w:rsidR="008E191A">
        <w:rPr>
          <w:b/>
          <w:sz w:val="22"/>
          <w:szCs w:val="22"/>
        </w:rPr>
        <w:t>12/2022</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atender ao item 3.5, que possuir restrição em qualquer dos documentos de regularidade </w:t>
      </w:r>
      <w:r>
        <w:rPr>
          <w:rFonts w:ascii="Arial" w:hAnsi="Arial" w:cs="Arial"/>
          <w:sz w:val="22"/>
          <w:szCs w:val="22"/>
        </w:rPr>
        <w:lastRenderedPageBreak/>
        <w:t xml:space="preserve">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exercer  o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envelope PROPOSTA DE PREÇOS. Estarão habilitados os licitantes que atenderem à </w:t>
      </w:r>
      <w:r>
        <w:rPr>
          <w:rFonts w:ascii="Arial" w:hAnsi="Arial" w:cs="Arial"/>
          <w:sz w:val="22"/>
          <w:szCs w:val="22"/>
        </w:rPr>
        <w:lastRenderedPageBreak/>
        <w:t xml:space="preserve">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3E2C472E"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Pr>
          <w:rStyle w:val="Fontepargpadro1"/>
          <w:rFonts w:ascii="Arial" w:hAnsi="Arial" w:cs="Arial"/>
          <w:b/>
          <w:iCs/>
          <w:color w:val="000000"/>
          <w:sz w:val="22"/>
          <w:szCs w:val="22"/>
        </w:rPr>
        <w:t xml:space="preserve"> </w:t>
      </w:r>
      <w:r w:rsidR="00C755BF">
        <w:rPr>
          <w:rFonts w:ascii="Arial" w:hAnsi="Arial" w:cs="Arial"/>
          <w:b/>
          <w:iCs/>
          <w:color w:val="000000"/>
          <w:sz w:val="22"/>
          <w:szCs w:val="22"/>
        </w:rPr>
        <w:t>R$</w:t>
      </w:r>
      <w:r w:rsidR="008E191A">
        <w:rPr>
          <w:b/>
          <w:bCs/>
        </w:rPr>
        <w:t>298.178.80</w:t>
      </w:r>
      <w:r w:rsidR="008E191A" w:rsidRPr="00B94381">
        <w:rPr>
          <w:rFonts w:ascii="Arial" w:hAnsi="Arial" w:cs="Arial"/>
          <w:b/>
          <w:bCs/>
          <w:iCs/>
          <w:color w:val="000000"/>
          <w:sz w:val="22"/>
          <w:szCs w:val="22"/>
        </w:rPr>
        <w:t>(</w:t>
      </w:r>
      <w:r w:rsidR="008E191A">
        <w:rPr>
          <w:rFonts w:ascii="Arial" w:hAnsi="Arial" w:cs="Arial"/>
          <w:b/>
          <w:bCs/>
          <w:iCs/>
          <w:color w:val="000000"/>
          <w:sz w:val="22"/>
          <w:szCs w:val="22"/>
        </w:rPr>
        <w:t xml:space="preserve">duzentos e noventa e oito mil cento e setenta e oito reais e oitenta centavos </w:t>
      </w:r>
      <w:r w:rsidR="008E191A" w:rsidRPr="00524C20">
        <w:rPr>
          <w:rFonts w:ascii="Arial" w:hAnsi="Arial" w:cs="Arial"/>
          <w:iCs/>
          <w:color w:val="000000"/>
          <w:sz w:val="22"/>
          <w:szCs w:val="22"/>
        </w:rPr>
        <w:t>)</w:t>
      </w:r>
      <w:r w:rsidR="00E03D48">
        <w:rPr>
          <w:rFonts w:ascii="Arial" w:hAnsi="Arial" w:cs="Arial"/>
          <w:b/>
          <w:bCs/>
          <w:iCs/>
          <w:color w:val="000000"/>
          <w:sz w:val="22"/>
          <w:szCs w:val="22"/>
        </w:rPr>
        <w:t>)</w:t>
      </w:r>
      <w:r>
        <w:rPr>
          <w:rStyle w:val="Fontepargpadro1"/>
          <w:rFonts w:ascii="Arial" w:hAnsi="Arial" w:cs="Arial"/>
          <w:iCs/>
          <w:color w:val="000000"/>
          <w:sz w:val="22"/>
          <w:szCs w:val="22"/>
        </w:rPr>
        <w:t>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0A828CAB"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2F3BEB">
        <w:rPr>
          <w:rFonts w:ascii="Arial" w:hAnsi="Arial" w:cs="Arial"/>
          <w:b/>
          <w:sz w:val="22"/>
          <w:szCs w:val="22"/>
        </w:rPr>
        <w:t>MUNICIPIO DE CALMON</w:t>
      </w:r>
      <w:r>
        <w:rPr>
          <w:rFonts w:ascii="Arial" w:hAnsi="Arial" w:cs="Arial"/>
          <w:b/>
          <w:sz w:val="22"/>
          <w:szCs w:val="22"/>
        </w:rPr>
        <w:t>/SC</w:t>
      </w:r>
    </w:p>
    <w:p w14:paraId="3E2F9237" w14:textId="48C3D3F9"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TOMADA DE PREÇOS Nº</w:t>
      </w:r>
      <w:r w:rsidR="008E191A">
        <w:rPr>
          <w:rFonts w:ascii="Arial" w:hAnsi="Arial" w:cs="Arial"/>
          <w:b/>
          <w:sz w:val="22"/>
          <w:szCs w:val="22"/>
        </w:rPr>
        <w:t>12/2022</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lastRenderedPageBreak/>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apresentada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49DA373B"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w:t>
      </w:r>
      <w:r w:rsidR="000765D8">
        <w:rPr>
          <w:rFonts w:ascii="Arial" w:hAnsi="Arial" w:cs="Arial"/>
          <w:sz w:val="22"/>
          <w:szCs w:val="22"/>
        </w:rPr>
        <w:t>dotação proveniente</w:t>
      </w:r>
      <w:r w:rsidR="00A144FF">
        <w:rPr>
          <w:rFonts w:ascii="Arial" w:hAnsi="Arial" w:cs="Arial"/>
          <w:sz w:val="22"/>
          <w:szCs w:val="22"/>
        </w:rPr>
        <w:t xml:space="preserve"> da emenda parlamentar</w:t>
      </w:r>
      <w:r w:rsidR="00A9386F">
        <w:rPr>
          <w:rFonts w:ascii="Arial" w:hAnsi="Arial" w:cs="Arial"/>
          <w:sz w:val="22"/>
          <w:szCs w:val="22"/>
        </w:rPr>
        <w:t xml:space="preserve"> e de recursos próprios do </w:t>
      </w:r>
      <w:r w:rsidR="00E03D48">
        <w:rPr>
          <w:rFonts w:ascii="Arial" w:hAnsi="Arial" w:cs="Arial"/>
          <w:sz w:val="22"/>
          <w:szCs w:val="22"/>
        </w:rPr>
        <w:t>município</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w:t>
      </w:r>
      <w:r>
        <w:rPr>
          <w:rFonts w:ascii="Arial" w:hAnsi="Arial" w:cs="Arial"/>
          <w:sz w:val="22"/>
          <w:szCs w:val="22"/>
        </w:rPr>
        <w:lastRenderedPageBreak/>
        <w:t>cento) referente ao recolhimento do INSS e o ISS será calculado sobre o valor total da 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6185A0AA" w:rsidR="00A145D4" w:rsidRDefault="00A145D4" w:rsidP="00A145D4">
      <w:pPr>
        <w:ind w:firstLine="397"/>
        <w:jc w:val="both"/>
      </w:pPr>
      <w:r>
        <w:rPr>
          <w:rFonts w:ascii="Arial" w:hAnsi="Arial" w:cs="Arial"/>
          <w:sz w:val="22"/>
          <w:szCs w:val="22"/>
        </w:rPr>
        <w:t>a) Executar a obra em estrito cumprimento e de acordo com os projetos executivos fornecidos e aprovados</w:t>
      </w:r>
      <w:r w:rsidR="00B94381">
        <w:rPr>
          <w:rFonts w:ascii="Arial" w:hAnsi="Arial" w:cs="Arial"/>
          <w:sz w:val="22"/>
          <w:szCs w:val="22"/>
        </w:rPr>
        <w:t xml:space="preserve"> pela engenharia do </w:t>
      </w:r>
      <w:r w:rsidR="00A9386F">
        <w:rPr>
          <w:rFonts w:ascii="Arial" w:hAnsi="Arial" w:cs="Arial"/>
          <w:sz w:val="22"/>
          <w:szCs w:val="22"/>
        </w:rPr>
        <w:t>município (</w:t>
      </w:r>
      <w:r>
        <w:rPr>
          <w:rFonts w:ascii="Arial" w:hAnsi="Arial" w:cs="Arial"/>
          <w:sz w:val="22"/>
          <w:szCs w:val="22"/>
        </w:rPr>
        <w:t>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76DECE3B"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O “Diário de Obra” deverá conter pelo menos as informações do modelo fornecido </w:t>
      </w:r>
      <w:r w:rsidR="00A9386F">
        <w:rPr>
          <w:rFonts w:ascii="Arial" w:hAnsi="Arial" w:cs="Arial"/>
          <w:sz w:val="22"/>
          <w:szCs w:val="22"/>
        </w:rPr>
        <w:t>pelo setor</w:t>
      </w:r>
      <w:r w:rsidR="00B94381">
        <w:rPr>
          <w:rFonts w:ascii="Arial" w:hAnsi="Arial" w:cs="Arial"/>
          <w:sz w:val="22"/>
          <w:szCs w:val="22"/>
        </w:rPr>
        <w:t xml:space="preserve"> de engenharia do </w:t>
      </w:r>
      <w:r w:rsidR="00A9386F">
        <w:rPr>
          <w:rFonts w:ascii="Arial" w:hAnsi="Arial" w:cs="Arial"/>
          <w:sz w:val="22"/>
          <w:szCs w:val="22"/>
        </w:rPr>
        <w:t>município</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lastRenderedPageBreak/>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lastRenderedPageBreak/>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2ADA3E7" w14:textId="77777777" w:rsidR="004D5FB6" w:rsidRDefault="004D5FB6" w:rsidP="00050324">
      <w:pPr>
        <w:pStyle w:val="TextosemFormatao1"/>
        <w:spacing w:line="240" w:lineRule="auto"/>
        <w:jc w:val="center"/>
        <w:rPr>
          <w:rFonts w:ascii="Arial" w:hAnsi="Arial" w:cs="Arial"/>
          <w:b/>
          <w:sz w:val="22"/>
          <w:szCs w:val="22"/>
        </w:rPr>
      </w:pPr>
    </w:p>
    <w:p w14:paraId="039A0B29" w14:textId="56D9789D"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47AAD98C" w14:textId="0DA55E59" w:rsidR="00050324" w:rsidRDefault="00050324" w:rsidP="00050324">
      <w:pPr>
        <w:pStyle w:val="TextosemFormatao1"/>
        <w:spacing w:line="240" w:lineRule="auto"/>
        <w:jc w:val="center"/>
      </w:pPr>
      <w:r>
        <w:rPr>
          <w:rFonts w:ascii="Arial" w:hAnsi="Arial" w:cs="Arial"/>
          <w:b/>
          <w:sz w:val="22"/>
          <w:szCs w:val="22"/>
        </w:rPr>
        <w:t>TOMADA DE PREÇOS N°</w:t>
      </w:r>
      <w:r w:rsidR="008E191A">
        <w:rPr>
          <w:rFonts w:ascii="Arial" w:hAnsi="Arial" w:cs="Arial"/>
          <w:b/>
          <w:sz w:val="22"/>
          <w:szCs w:val="22"/>
        </w:rPr>
        <w:t>12/2022</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24F0D00E"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8E191A">
        <w:rPr>
          <w:rFonts w:ascii="Arial" w:hAnsi="Arial" w:cs="Arial"/>
          <w:b/>
          <w:sz w:val="22"/>
          <w:szCs w:val="22"/>
        </w:rPr>
        <w:t>45/2022</w:t>
      </w:r>
    </w:p>
    <w:p w14:paraId="0684A22D" w14:textId="41EBB616" w:rsidR="00050324" w:rsidRDefault="00050324" w:rsidP="00050324">
      <w:pPr>
        <w:pStyle w:val="TextosemFormatao1"/>
        <w:spacing w:line="240" w:lineRule="auto"/>
        <w:jc w:val="center"/>
      </w:pPr>
      <w:r>
        <w:rPr>
          <w:rFonts w:ascii="Arial" w:hAnsi="Arial" w:cs="Arial"/>
          <w:b/>
          <w:sz w:val="22"/>
          <w:szCs w:val="22"/>
        </w:rPr>
        <w:t>TOMADA DE PREÇOS N°</w:t>
      </w:r>
      <w:r w:rsidR="008E191A">
        <w:rPr>
          <w:rFonts w:ascii="Arial" w:hAnsi="Arial" w:cs="Arial"/>
          <w:b/>
          <w:sz w:val="22"/>
          <w:szCs w:val="22"/>
        </w:rPr>
        <w:t>12/2022</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215E9915"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3BA72B0F" w14:textId="6465D1AA" w:rsidR="00050324" w:rsidRDefault="00050324" w:rsidP="00050324">
      <w:pPr>
        <w:pStyle w:val="TextosemFormatao1"/>
        <w:spacing w:line="240" w:lineRule="auto"/>
        <w:jc w:val="center"/>
      </w:pPr>
      <w:r>
        <w:rPr>
          <w:rFonts w:ascii="Arial" w:hAnsi="Arial" w:cs="Arial"/>
          <w:b/>
          <w:sz w:val="22"/>
          <w:szCs w:val="22"/>
        </w:rPr>
        <w:t>TOMADA DE PREÇOS N°</w:t>
      </w:r>
      <w:r w:rsidR="008E191A">
        <w:rPr>
          <w:rFonts w:ascii="Arial" w:hAnsi="Arial" w:cs="Arial"/>
          <w:b/>
          <w:sz w:val="22"/>
          <w:szCs w:val="22"/>
        </w:rPr>
        <w:t>12/2022</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t>ANEXO IV</w:t>
      </w:r>
    </w:p>
    <w:p w14:paraId="4EC8A2AC" w14:textId="77777777" w:rsidR="00050324" w:rsidRDefault="00050324" w:rsidP="00050324">
      <w:pPr>
        <w:jc w:val="center"/>
        <w:rPr>
          <w:rFonts w:ascii="Arial" w:hAnsi="Arial" w:cs="Arial"/>
          <w:b/>
          <w:sz w:val="22"/>
          <w:szCs w:val="22"/>
        </w:rPr>
      </w:pPr>
    </w:p>
    <w:p w14:paraId="02157A2D" w14:textId="7F6B63A0" w:rsidR="00050324" w:rsidRDefault="00050324" w:rsidP="00050324">
      <w:pPr>
        <w:jc w:val="center"/>
      </w:pPr>
      <w:r>
        <w:rPr>
          <w:rFonts w:ascii="Arial" w:hAnsi="Arial" w:cs="Arial"/>
          <w:b/>
          <w:sz w:val="22"/>
          <w:szCs w:val="22"/>
        </w:rPr>
        <w:t xml:space="preserve">PROCESSO LICITATÓRIO Nº </w:t>
      </w:r>
      <w:r w:rsidR="008E191A">
        <w:rPr>
          <w:rFonts w:ascii="Arial" w:hAnsi="Arial" w:cs="Arial"/>
          <w:b/>
          <w:sz w:val="22"/>
          <w:szCs w:val="22"/>
        </w:rPr>
        <w:t>45/2022</w:t>
      </w:r>
    </w:p>
    <w:p w14:paraId="0CFCD416" w14:textId="1A013854" w:rsidR="00050324" w:rsidRDefault="00050324" w:rsidP="00050324">
      <w:pPr>
        <w:jc w:val="center"/>
      </w:pPr>
      <w:r>
        <w:rPr>
          <w:rFonts w:ascii="Arial" w:hAnsi="Arial" w:cs="Arial"/>
          <w:b/>
          <w:sz w:val="22"/>
          <w:szCs w:val="22"/>
        </w:rPr>
        <w:t>TOMADA DE PREÇO Nº</w:t>
      </w:r>
      <w:r w:rsidR="008E191A">
        <w:rPr>
          <w:rFonts w:ascii="Arial" w:hAnsi="Arial" w:cs="Arial"/>
          <w:b/>
          <w:sz w:val="22"/>
          <w:szCs w:val="22"/>
        </w:rPr>
        <w:t>12/2022</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D76B"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481544" w:rsidRDefault="00481544" w:rsidP="00050324">
                            <w:pPr>
                              <w:pStyle w:val="Contedodoquadro"/>
                              <w:jc w:val="center"/>
                            </w:pPr>
                            <w:r>
                              <w:rPr>
                                <w:rFonts w:ascii="Arial" w:hAnsi="Arial" w:cs="Arial"/>
                                <w:color w:val="auto"/>
                              </w:rPr>
                              <w:t>OBS: Com assinatura do Outorgante reconhecida em cartório</w:t>
                            </w:r>
                          </w:p>
                          <w:p w14:paraId="1EE9B0BF" w14:textId="77777777" w:rsidR="00481544" w:rsidRDefault="00481544" w:rsidP="00050324">
                            <w:pPr>
                              <w:pStyle w:val="Contedodoquadro"/>
                              <w:rPr>
                                <w:color w:val="auto"/>
                              </w:rPr>
                            </w:pPr>
                          </w:p>
                          <w:p w14:paraId="062E5D04" w14:textId="77777777" w:rsidR="00481544" w:rsidRDefault="00481544" w:rsidP="00050324">
                            <w:pPr>
                              <w:pStyle w:val="Contedodoquadro"/>
                              <w:rPr>
                                <w:color w:val="auto"/>
                              </w:rPr>
                            </w:pPr>
                          </w:p>
                          <w:p w14:paraId="3BB31CD3" w14:textId="77777777" w:rsidR="00481544" w:rsidRDefault="00481544"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">
                <v:textbox inset="0,0,0,0">
                  <w:txbxContent>
                    <w:p w14:paraId="06EF21A0" w14:textId="77777777" w:rsidR="00481544" w:rsidRDefault="00481544" w:rsidP="00050324">
                      <w:pPr>
                        <w:pStyle w:val="Contedodoquadro"/>
                        <w:jc w:val="center"/>
                      </w:pPr>
                      <w:r>
                        <w:rPr>
                          <w:rFonts w:ascii="Arial" w:hAnsi="Arial" w:cs="Arial"/>
                          <w:color w:val="auto"/>
                        </w:rPr>
                        <w:t>OBS: Com assinatura do Outorgante reconhecida em cartório</w:t>
                      </w:r>
                    </w:p>
                    <w:p w14:paraId="1EE9B0BF" w14:textId="77777777" w:rsidR="00481544" w:rsidRDefault="00481544" w:rsidP="00050324">
                      <w:pPr>
                        <w:pStyle w:val="Contedodoquadro"/>
                        <w:rPr>
                          <w:color w:val="auto"/>
                        </w:rPr>
                      </w:pPr>
                    </w:p>
                    <w:p w14:paraId="062E5D04" w14:textId="77777777" w:rsidR="00481544" w:rsidRDefault="00481544" w:rsidP="00050324">
                      <w:pPr>
                        <w:pStyle w:val="Contedodoquadro"/>
                        <w:rPr>
                          <w:color w:val="auto"/>
                        </w:rPr>
                      </w:pPr>
                    </w:p>
                    <w:p w14:paraId="3BB31CD3" w14:textId="77777777" w:rsidR="00481544" w:rsidRDefault="00481544"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40E83624" w:rsidR="00050324" w:rsidRDefault="00050324" w:rsidP="00050324">
      <w:pPr>
        <w:pStyle w:val="TextosemFormatao1"/>
        <w:pageBreakBefore/>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52771032" w14:textId="5148539F" w:rsidR="00050324" w:rsidRDefault="00050324" w:rsidP="00050324">
      <w:pPr>
        <w:jc w:val="center"/>
      </w:pPr>
      <w:r>
        <w:rPr>
          <w:rFonts w:ascii="Arial" w:hAnsi="Arial" w:cs="Arial"/>
          <w:b/>
          <w:sz w:val="22"/>
          <w:szCs w:val="22"/>
        </w:rPr>
        <w:t>TOMADA DE PREÇOS N°</w:t>
      </w:r>
      <w:r w:rsidR="008E191A">
        <w:rPr>
          <w:rFonts w:ascii="Arial" w:hAnsi="Arial" w:cs="Arial"/>
          <w:b/>
          <w:sz w:val="22"/>
          <w:szCs w:val="22"/>
        </w:rPr>
        <w:t>12/2022</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05AFE6C9"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w:t>
      </w:r>
      <w:r w:rsidR="00E03D48">
        <w:rPr>
          <w:rFonts w:ascii="Arial" w:hAnsi="Arial" w:cs="Arial"/>
          <w:sz w:val="22"/>
          <w:szCs w:val="22"/>
        </w:rPr>
        <w:t>2</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550FC23C" w:rsidR="00050324" w:rsidRDefault="00050324" w:rsidP="00050324">
      <w:pPr>
        <w:pStyle w:val="TextosemFormatao1"/>
        <w:pageBreakBefore/>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4488377C" w14:textId="0D37C97E"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TOMADA DE PREÇOS N°</w:t>
      </w:r>
      <w:r w:rsidR="008E191A">
        <w:rPr>
          <w:rFonts w:ascii="Arial" w:hAnsi="Arial" w:cs="Arial"/>
          <w:b/>
          <w:sz w:val="22"/>
          <w:szCs w:val="22"/>
        </w:rPr>
        <w:t>12/2022</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59472F82"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2666C4CA" w14:textId="2C3002D0" w:rsidR="00050324" w:rsidRDefault="00050324" w:rsidP="00050324">
      <w:pPr>
        <w:pStyle w:val="TextosemFormatao1"/>
        <w:spacing w:line="240" w:lineRule="auto"/>
        <w:jc w:val="center"/>
      </w:pPr>
      <w:r>
        <w:rPr>
          <w:rFonts w:ascii="Arial" w:hAnsi="Arial" w:cs="Arial"/>
          <w:b/>
          <w:sz w:val="22"/>
          <w:szCs w:val="22"/>
          <w:shd w:val="clear" w:color="auto" w:fill="FFFFFF"/>
        </w:rPr>
        <w:t>TOMADA DE PREÇOS N°</w:t>
      </w:r>
      <w:r w:rsidR="008E191A">
        <w:rPr>
          <w:rFonts w:ascii="Arial" w:hAnsi="Arial" w:cs="Arial"/>
          <w:b/>
          <w:sz w:val="22"/>
          <w:szCs w:val="22"/>
          <w:shd w:val="clear" w:color="auto" w:fill="FFFFFF"/>
        </w:rPr>
        <w:t>12/2022</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79FD661A"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684E3785" w14:textId="2160227C" w:rsidR="00050324" w:rsidRDefault="00050324" w:rsidP="00050324">
      <w:pPr>
        <w:jc w:val="center"/>
      </w:pPr>
      <w:r>
        <w:rPr>
          <w:rFonts w:ascii="Arial" w:hAnsi="Arial" w:cs="Arial"/>
          <w:b/>
          <w:sz w:val="22"/>
          <w:szCs w:val="22"/>
        </w:rPr>
        <w:t>TOMADA DE PREÇOS N°</w:t>
      </w:r>
      <w:r w:rsidR="008E191A">
        <w:rPr>
          <w:rFonts w:ascii="Arial" w:hAnsi="Arial" w:cs="Arial"/>
          <w:b/>
          <w:sz w:val="22"/>
          <w:szCs w:val="22"/>
        </w:rPr>
        <w:t>12/2022</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69B4EB99"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8E191A">
        <w:rPr>
          <w:rFonts w:ascii="Arial" w:hAnsi="Arial" w:cs="Arial"/>
          <w:b/>
          <w:sz w:val="22"/>
          <w:szCs w:val="22"/>
        </w:rPr>
        <w:t>45/2022</w:t>
      </w:r>
    </w:p>
    <w:p w14:paraId="4E4EFDA9" w14:textId="2718D0F7" w:rsidR="00050324" w:rsidRDefault="00050324" w:rsidP="00050324">
      <w:pPr>
        <w:jc w:val="center"/>
      </w:pPr>
      <w:r>
        <w:rPr>
          <w:rFonts w:ascii="Arial" w:hAnsi="Arial" w:cs="Arial"/>
          <w:b/>
          <w:sz w:val="22"/>
          <w:szCs w:val="22"/>
        </w:rPr>
        <w:t>TOMADA DE PREÇOS N°</w:t>
      </w:r>
      <w:r w:rsidR="008E191A">
        <w:rPr>
          <w:rFonts w:ascii="Arial" w:hAnsi="Arial" w:cs="Arial"/>
          <w:b/>
          <w:sz w:val="22"/>
          <w:szCs w:val="22"/>
        </w:rPr>
        <w:t>12/2022</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r>
        <w:rPr>
          <w:rFonts w:ascii="Arial" w:hAnsi="Arial" w:cs="Arial"/>
          <w:sz w:val="22"/>
          <w:szCs w:val="22"/>
        </w:rPr>
        <w:t>Eu,________________________,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3F002B6C" w:rsidR="00050324" w:rsidRDefault="00050324" w:rsidP="00050324">
      <w:pPr>
        <w:jc w:val="center"/>
      </w:pPr>
      <w:r>
        <w:rPr>
          <w:rFonts w:ascii="Arial" w:hAnsi="Arial" w:cs="Arial"/>
          <w:b/>
          <w:bCs/>
          <w:sz w:val="22"/>
          <w:szCs w:val="22"/>
        </w:rPr>
        <w:t>CONTRATO ADMINISTRATIVO Nº ..../20</w:t>
      </w:r>
      <w:r w:rsidR="00A144FF">
        <w:rPr>
          <w:rFonts w:ascii="Arial" w:hAnsi="Arial" w:cs="Arial"/>
          <w:b/>
          <w:bCs/>
          <w:sz w:val="22"/>
          <w:szCs w:val="22"/>
        </w:rPr>
        <w:t>2</w:t>
      </w:r>
      <w:r w:rsidR="00524DA3">
        <w:rPr>
          <w:rFonts w:ascii="Arial" w:hAnsi="Arial" w:cs="Arial"/>
          <w:b/>
          <w:bCs/>
          <w:sz w:val="22"/>
          <w:szCs w:val="22"/>
        </w:rPr>
        <w:t>2</w:t>
      </w:r>
    </w:p>
    <w:p w14:paraId="43A208CB" w14:textId="12876DFD"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8E191A">
        <w:rPr>
          <w:rFonts w:ascii="Arial" w:hAnsi="Arial" w:cs="Arial"/>
          <w:color w:val="auto"/>
          <w:sz w:val="22"/>
          <w:szCs w:val="22"/>
        </w:rPr>
        <w:t>45/2022</w:t>
      </w:r>
      <w:r w:rsidRPr="00ED376D">
        <w:rPr>
          <w:rFonts w:ascii="Arial" w:hAnsi="Arial" w:cs="Arial"/>
          <w:color w:val="auto"/>
          <w:sz w:val="22"/>
          <w:szCs w:val="22"/>
        </w:rPr>
        <w:t xml:space="preserve"> - TOMADA DE PREÇOS Nº</w:t>
      </w:r>
      <w:r w:rsidR="008E191A">
        <w:rPr>
          <w:rFonts w:ascii="Arial" w:hAnsi="Arial" w:cs="Arial"/>
          <w:color w:val="auto"/>
          <w:sz w:val="22"/>
          <w:szCs w:val="22"/>
        </w:rPr>
        <w:t>12/2022</w:t>
      </w:r>
    </w:p>
    <w:p w14:paraId="3A38214C" w14:textId="77777777" w:rsidR="00050324" w:rsidRDefault="00050324" w:rsidP="00050324">
      <w:pPr>
        <w:jc w:val="both"/>
        <w:rPr>
          <w:rFonts w:ascii="Arial" w:hAnsi="Arial" w:cs="Arial"/>
          <w:b/>
          <w:bCs/>
          <w:sz w:val="22"/>
          <w:szCs w:val="22"/>
        </w:rPr>
      </w:pPr>
    </w:p>
    <w:p w14:paraId="16623A60" w14:textId="7007AA97"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2F3BEB">
        <w:rPr>
          <w:rFonts w:ascii="Arial" w:hAnsi="Arial" w:cs="Arial"/>
          <w:b/>
          <w:sz w:val="22"/>
          <w:szCs w:val="22"/>
        </w:rPr>
        <w:t>MUNICIPIO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2F3BEB">
        <w:rPr>
          <w:rFonts w:ascii="Arial" w:hAnsi="Arial" w:cs="Arial"/>
          <w:sz w:val="22"/>
          <w:szCs w:val="22"/>
        </w:rPr>
        <w:t>95.949.806/0001-37</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ad</w:t>
      </w:r>
      <w:r>
        <w:rPr>
          <w:rFonts w:ascii="Arial" w:hAnsi="Arial" w:cs="Arial"/>
          <w:bCs/>
          <w:sz w:val="22"/>
          <w:szCs w:val="22"/>
        </w:rPr>
        <w:t xml:space="preserve">ministrador </w:t>
      </w:r>
      <w:r>
        <w:rPr>
          <w:rFonts w:ascii="Arial" w:hAnsi="Arial" w:cs="Arial"/>
          <w:sz w:val="22"/>
          <w:szCs w:val="22"/>
        </w:rPr>
        <w:t>,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594714E5" w:rsidR="00050324" w:rsidRDefault="00050324" w:rsidP="00050324">
      <w:pPr>
        <w:jc w:val="both"/>
      </w:pPr>
      <w:r>
        <w:rPr>
          <w:rFonts w:ascii="Arial" w:hAnsi="Arial" w:cs="Arial"/>
          <w:sz w:val="22"/>
          <w:szCs w:val="22"/>
        </w:rPr>
        <w:t xml:space="preserve">Nos termos do Processo Licitatório Nº </w:t>
      </w:r>
      <w:r w:rsidR="008E191A">
        <w:rPr>
          <w:rFonts w:ascii="Arial" w:hAnsi="Arial" w:cs="Arial"/>
          <w:sz w:val="22"/>
          <w:szCs w:val="22"/>
        </w:rPr>
        <w:t>45/2022</w:t>
      </w:r>
      <w:r>
        <w:rPr>
          <w:rFonts w:ascii="Arial" w:hAnsi="Arial" w:cs="Arial"/>
          <w:sz w:val="22"/>
          <w:szCs w:val="22"/>
        </w:rPr>
        <w:t>, na modalidade de TOMADA DE PREÇOS nº</w:t>
      </w:r>
      <w:r w:rsidR="008E191A">
        <w:rPr>
          <w:rFonts w:ascii="Arial" w:hAnsi="Arial" w:cs="Arial"/>
          <w:sz w:val="22"/>
          <w:szCs w:val="22"/>
        </w:rPr>
        <w:t>12/2022</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14A3D7B3"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CLÁUSULA PRIMEIRA - DO OBJETO</w:t>
      </w:r>
    </w:p>
    <w:p w14:paraId="6C96B5E2" w14:textId="1B6B5E43" w:rsidR="00B94381" w:rsidRDefault="00C755BF"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C755BF">
        <w:rPr>
          <w:rFonts w:ascii="Arial" w:hAnsi="Arial" w:cs="Arial"/>
          <w:b/>
          <w:sz w:val="22"/>
          <w:szCs w:val="22"/>
        </w:rPr>
        <w:t>.</w:t>
      </w:r>
      <w:r w:rsidR="005C09FD">
        <w:rPr>
          <w:rFonts w:ascii="Arial" w:hAnsi="Arial" w:cs="Arial"/>
          <w:b/>
          <w:sz w:val="22"/>
          <w:szCs w:val="22"/>
        </w:rPr>
        <w:t>.</w:t>
      </w:r>
      <w:r w:rsidR="00E03D48">
        <w:rPr>
          <w:rFonts w:ascii="Arial" w:hAnsi="Arial" w:cs="Arial"/>
          <w:b/>
          <w:sz w:val="22"/>
          <w:szCs w:val="22"/>
        </w:rPr>
        <w:t xml:space="preserve"> descrição do objeto...</w:t>
      </w:r>
    </w:p>
    <w:p w14:paraId="09C0A8F4" w14:textId="22A730B0"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038A97A8" w:rsidR="00050324" w:rsidRDefault="00050324" w:rsidP="00050324">
      <w:pPr>
        <w:jc w:val="both"/>
      </w:pPr>
      <w:r>
        <w:rPr>
          <w:rFonts w:ascii="Arial" w:hAnsi="Arial" w:cs="Arial"/>
          <w:sz w:val="22"/>
          <w:szCs w:val="22"/>
        </w:rPr>
        <w:t xml:space="preserve">O presente Contrato tem o prazo de validade para o exercício de </w:t>
      </w:r>
      <w:r w:rsidR="004F2935">
        <w:rPr>
          <w:rFonts w:ascii="Arial" w:hAnsi="Arial" w:cs="Arial"/>
          <w:sz w:val="22"/>
          <w:szCs w:val="22"/>
        </w:rPr>
        <w:t>2022</w:t>
      </w:r>
      <w:r w:rsidRPr="00793D86">
        <w:rPr>
          <w:rFonts w:ascii="Arial" w:hAnsi="Arial" w:cs="Arial"/>
          <w:sz w:val="22"/>
          <w:szCs w:val="22"/>
          <w:shd w:val="clear" w:color="auto" w:fill="FFFF00"/>
        </w:rPr>
        <w:t>, sendo que o prazo de execução da obra é de</w:t>
      </w:r>
      <w:r w:rsidR="00B94381">
        <w:rPr>
          <w:rFonts w:ascii="Arial" w:hAnsi="Arial" w:cs="Arial"/>
          <w:sz w:val="22"/>
          <w:szCs w:val="22"/>
          <w:shd w:val="clear" w:color="auto" w:fill="FFFF00"/>
        </w:rPr>
        <w:t xml:space="preserve"> até no </w:t>
      </w:r>
      <w:proofErr w:type="spellStart"/>
      <w:r w:rsidR="00B94381">
        <w:rPr>
          <w:rFonts w:ascii="Arial" w:hAnsi="Arial" w:cs="Arial"/>
          <w:sz w:val="22"/>
          <w:szCs w:val="22"/>
          <w:shd w:val="clear" w:color="auto" w:fill="FFFF00"/>
        </w:rPr>
        <w:t>maximo</w:t>
      </w:r>
      <w:proofErr w:type="spellEnd"/>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180</w:t>
      </w:r>
      <w:r w:rsidRPr="00793D86">
        <w:rPr>
          <w:rFonts w:ascii="Arial" w:hAnsi="Arial" w:cs="Arial"/>
          <w:sz w:val="22"/>
          <w:szCs w:val="22"/>
          <w:shd w:val="clear" w:color="auto" w:fill="FFFF00"/>
        </w:rPr>
        <w:t xml:space="preserve"> (</w:t>
      </w:r>
      <w:r w:rsidR="00E03D48">
        <w:rPr>
          <w:rFonts w:ascii="Arial" w:hAnsi="Arial" w:cs="Arial"/>
          <w:sz w:val="22"/>
          <w:szCs w:val="22"/>
          <w:shd w:val="clear" w:color="auto" w:fill="FFFF00"/>
        </w:rPr>
        <w:t>cento e oitenta</w:t>
      </w:r>
      <w:r w:rsidRPr="00793D86">
        <w:rPr>
          <w:rFonts w:ascii="Arial" w:hAnsi="Arial" w:cs="Arial"/>
          <w:sz w:val="22"/>
          <w:szCs w:val="22"/>
          <w:shd w:val="clear" w:color="auto" w:fill="FFFF00"/>
        </w:rPr>
        <w:t>)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DD012BC" w:rsidR="00050324" w:rsidRDefault="00050324" w:rsidP="00050324">
      <w:pPr>
        <w:widowControl/>
        <w:numPr>
          <w:ilvl w:val="0"/>
          <w:numId w:val="33"/>
        </w:numPr>
        <w:jc w:val="both"/>
      </w:pPr>
      <w:r>
        <w:rPr>
          <w:rFonts w:ascii="Arial" w:hAnsi="Arial" w:cs="Arial"/>
          <w:sz w:val="22"/>
          <w:szCs w:val="22"/>
        </w:rPr>
        <w:t xml:space="preserve">Executar a obra em estrito cumprimento e de acordo com os projetos executivos fornecidos e aprovados pelo </w:t>
      </w:r>
      <w:r w:rsidR="00B94381">
        <w:rPr>
          <w:rFonts w:ascii="Arial" w:hAnsi="Arial" w:cs="Arial"/>
          <w:sz w:val="22"/>
          <w:szCs w:val="22"/>
        </w:rPr>
        <w:t xml:space="preserve">setor de engenharia do </w:t>
      </w:r>
      <w:proofErr w:type="spellStart"/>
      <w:r w:rsidR="00B94381">
        <w:rPr>
          <w:rFonts w:ascii="Arial" w:hAnsi="Arial" w:cs="Arial"/>
          <w:sz w:val="22"/>
          <w:szCs w:val="22"/>
        </w:rPr>
        <w:t>municipio</w:t>
      </w:r>
      <w:proofErr w:type="spellEnd"/>
      <w:r>
        <w:rPr>
          <w:rFonts w:ascii="Arial" w:hAnsi="Arial" w:cs="Arial"/>
          <w:sz w:val="22"/>
          <w:szCs w:val="22"/>
        </w:rPr>
        <w:t xml:space="preserve">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5FD40B30"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5C09FD">
        <w:rPr>
          <w:rFonts w:ascii="Arial" w:hAnsi="Arial" w:cs="Arial"/>
          <w:shd w:val="clear" w:color="auto" w:fill="FFFF00"/>
        </w:rPr>
        <w:t>designado por portaria municipal.</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3C7D2BF0"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B635AB">
        <w:rPr>
          <w:rFonts w:ascii="Arial" w:hAnsi="Arial" w:cs="Arial"/>
          <w:sz w:val="22"/>
          <w:szCs w:val="22"/>
        </w:rPr>
        <w:t>2</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1013" w14:textId="77777777" w:rsidR="00E12259" w:rsidRDefault="00E12259" w:rsidP="00A145D4">
      <w:r>
        <w:separator/>
      </w:r>
    </w:p>
  </w:endnote>
  <w:endnote w:type="continuationSeparator" w:id="0">
    <w:p w14:paraId="7830912A" w14:textId="77777777" w:rsidR="00E12259" w:rsidRDefault="00E12259"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57D4" w14:textId="77777777" w:rsidR="00481544" w:rsidRDefault="00481544">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5DF3" w14:textId="77777777" w:rsidR="00E12259" w:rsidRDefault="00E12259" w:rsidP="00A145D4">
      <w:r>
        <w:separator/>
      </w:r>
    </w:p>
  </w:footnote>
  <w:footnote w:type="continuationSeparator" w:id="0">
    <w:p w14:paraId="74663C90" w14:textId="77777777" w:rsidR="00E12259" w:rsidRDefault="00E12259"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3E7B" w14:textId="77777777" w:rsidR="00481544" w:rsidRDefault="00481544">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16cid:durableId="1266309270">
    <w:abstractNumId w:val="24"/>
  </w:num>
  <w:num w:numId="2" w16cid:durableId="430978161">
    <w:abstractNumId w:val="21"/>
  </w:num>
  <w:num w:numId="3" w16cid:durableId="714431495">
    <w:abstractNumId w:val="16"/>
  </w:num>
  <w:num w:numId="4" w16cid:durableId="601107399">
    <w:abstractNumId w:val="30"/>
  </w:num>
  <w:num w:numId="5" w16cid:durableId="446124104">
    <w:abstractNumId w:val="19"/>
  </w:num>
  <w:num w:numId="6" w16cid:durableId="1837307389">
    <w:abstractNumId w:val="32"/>
  </w:num>
  <w:num w:numId="7" w16cid:durableId="1696036724">
    <w:abstractNumId w:val="17"/>
  </w:num>
  <w:num w:numId="8" w16cid:durableId="410011171">
    <w:abstractNumId w:val="29"/>
  </w:num>
  <w:num w:numId="9" w16cid:durableId="902256586">
    <w:abstractNumId w:val="10"/>
  </w:num>
  <w:num w:numId="10" w16cid:durableId="450249146">
    <w:abstractNumId w:val="23"/>
  </w:num>
  <w:num w:numId="11" w16cid:durableId="46608695">
    <w:abstractNumId w:val="33"/>
  </w:num>
  <w:num w:numId="12" w16cid:durableId="1063984354">
    <w:abstractNumId w:val="13"/>
  </w:num>
  <w:num w:numId="13" w16cid:durableId="1171405523">
    <w:abstractNumId w:val="11"/>
  </w:num>
  <w:num w:numId="14" w16cid:durableId="760951933">
    <w:abstractNumId w:val="18"/>
  </w:num>
  <w:num w:numId="15" w16cid:durableId="25715048">
    <w:abstractNumId w:val="26"/>
  </w:num>
  <w:num w:numId="16" w16cid:durableId="445663371">
    <w:abstractNumId w:val="28"/>
  </w:num>
  <w:num w:numId="17" w16cid:durableId="667446615">
    <w:abstractNumId w:val="22"/>
  </w:num>
  <w:num w:numId="18" w16cid:durableId="189614656">
    <w:abstractNumId w:val="9"/>
  </w:num>
  <w:num w:numId="19" w16cid:durableId="1424911509">
    <w:abstractNumId w:val="25"/>
  </w:num>
  <w:num w:numId="20" w16cid:durableId="1671061462">
    <w:abstractNumId w:val="14"/>
  </w:num>
  <w:num w:numId="21" w16cid:durableId="553124437">
    <w:abstractNumId w:val="20"/>
  </w:num>
  <w:num w:numId="22" w16cid:durableId="1741446219">
    <w:abstractNumId w:val="12"/>
  </w:num>
  <w:num w:numId="23" w16cid:durableId="90367974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7214179">
    <w:abstractNumId w:val="31"/>
  </w:num>
  <w:num w:numId="25" w16cid:durableId="1198854160">
    <w:abstractNumId w:val="27"/>
  </w:num>
  <w:num w:numId="26" w16cid:durableId="926615014">
    <w:abstractNumId w:val="1"/>
  </w:num>
  <w:num w:numId="27" w16cid:durableId="1748847485">
    <w:abstractNumId w:val="6"/>
  </w:num>
  <w:num w:numId="28" w16cid:durableId="1857042188">
    <w:abstractNumId w:val="15"/>
  </w:num>
  <w:num w:numId="29" w16cid:durableId="1019354787">
    <w:abstractNumId w:val="8"/>
  </w:num>
  <w:num w:numId="30" w16cid:durableId="108740045">
    <w:abstractNumId w:val="0"/>
  </w:num>
  <w:num w:numId="31" w16cid:durableId="9962316">
    <w:abstractNumId w:val="2"/>
  </w:num>
  <w:num w:numId="32" w16cid:durableId="1023482826">
    <w:abstractNumId w:val="3"/>
  </w:num>
  <w:num w:numId="33" w16cid:durableId="2076001602">
    <w:abstractNumId w:val="4"/>
  </w:num>
  <w:num w:numId="34" w16cid:durableId="1785153766">
    <w:abstractNumId w:val="5"/>
  </w:num>
  <w:num w:numId="35" w16cid:durableId="975797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765D8"/>
    <w:rsid w:val="000F0889"/>
    <w:rsid w:val="00102717"/>
    <w:rsid w:val="00112F26"/>
    <w:rsid w:val="00125D29"/>
    <w:rsid w:val="0017196F"/>
    <w:rsid w:val="0017468C"/>
    <w:rsid w:val="00195205"/>
    <w:rsid w:val="001C2BC9"/>
    <w:rsid w:val="001C6D7C"/>
    <w:rsid w:val="001D054D"/>
    <w:rsid w:val="002003CE"/>
    <w:rsid w:val="00221924"/>
    <w:rsid w:val="00251EBC"/>
    <w:rsid w:val="00254554"/>
    <w:rsid w:val="002A4B4C"/>
    <w:rsid w:val="002F3BEB"/>
    <w:rsid w:val="00366C14"/>
    <w:rsid w:val="003A7C68"/>
    <w:rsid w:val="003D0E4B"/>
    <w:rsid w:val="003D4EC4"/>
    <w:rsid w:val="00481544"/>
    <w:rsid w:val="004C7A3A"/>
    <w:rsid w:val="004D5FB6"/>
    <w:rsid w:val="004F2935"/>
    <w:rsid w:val="00517D01"/>
    <w:rsid w:val="00524C20"/>
    <w:rsid w:val="00524DA3"/>
    <w:rsid w:val="005C09FD"/>
    <w:rsid w:val="006F7226"/>
    <w:rsid w:val="00746005"/>
    <w:rsid w:val="007843DA"/>
    <w:rsid w:val="00792852"/>
    <w:rsid w:val="00807BDE"/>
    <w:rsid w:val="0081504F"/>
    <w:rsid w:val="00850E29"/>
    <w:rsid w:val="00884E23"/>
    <w:rsid w:val="008909BB"/>
    <w:rsid w:val="008D507B"/>
    <w:rsid w:val="008E191A"/>
    <w:rsid w:val="009214CD"/>
    <w:rsid w:val="00933482"/>
    <w:rsid w:val="00950167"/>
    <w:rsid w:val="009F0770"/>
    <w:rsid w:val="00A00E70"/>
    <w:rsid w:val="00A06815"/>
    <w:rsid w:val="00A144FF"/>
    <w:rsid w:val="00A145D4"/>
    <w:rsid w:val="00A9386F"/>
    <w:rsid w:val="00AA510A"/>
    <w:rsid w:val="00AF4534"/>
    <w:rsid w:val="00B122CD"/>
    <w:rsid w:val="00B635AB"/>
    <w:rsid w:val="00B741DD"/>
    <w:rsid w:val="00B80669"/>
    <w:rsid w:val="00B94381"/>
    <w:rsid w:val="00BE4755"/>
    <w:rsid w:val="00C1448F"/>
    <w:rsid w:val="00C210B2"/>
    <w:rsid w:val="00C755BF"/>
    <w:rsid w:val="00C93AC4"/>
    <w:rsid w:val="00CA7DEF"/>
    <w:rsid w:val="00CC172C"/>
    <w:rsid w:val="00CD3312"/>
    <w:rsid w:val="00E03D48"/>
    <w:rsid w:val="00E12259"/>
    <w:rsid w:val="00E23C0A"/>
    <w:rsid w:val="00E4059E"/>
    <w:rsid w:val="00E5481D"/>
    <w:rsid w:val="00E731AB"/>
    <w:rsid w:val="00E774A0"/>
    <w:rsid w:val="00E97B0F"/>
    <w:rsid w:val="00EB0FA0"/>
    <w:rsid w:val="00ED12B5"/>
    <w:rsid w:val="00ED376D"/>
    <w:rsid w:val="00EE18E3"/>
    <w:rsid w:val="00F006DD"/>
    <w:rsid w:val="00F124F9"/>
    <w:rsid w:val="00F424DB"/>
    <w:rsid w:val="00F43F90"/>
    <w:rsid w:val="00F45CC3"/>
    <w:rsid w:val="00F54EAF"/>
    <w:rsid w:val="00F55F55"/>
    <w:rsid w:val="00F76C92"/>
    <w:rsid w:val="00F86196"/>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5DF3"/>
  <w15:docId w15:val="{C75F9F97-4894-4956-A504-C21F844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9009</Words>
  <Characters>48650</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licita2022@gmail.com</cp:lastModifiedBy>
  <cp:revision>2</cp:revision>
  <cp:lastPrinted>2022-05-26T17:45:00Z</cp:lastPrinted>
  <dcterms:created xsi:type="dcterms:W3CDTF">2023-06-12T12:32:00Z</dcterms:created>
  <dcterms:modified xsi:type="dcterms:W3CDTF">2023-06-12T12:32:00Z</dcterms:modified>
</cp:coreProperties>
</file>