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8" w:rsidRPr="0041742A" w:rsidRDefault="001363C8" w:rsidP="00B05048">
      <w:pPr>
        <w:jc w:val="center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>PARECER</w:t>
      </w:r>
      <w:r w:rsidR="00791D33" w:rsidRPr="0041742A">
        <w:rPr>
          <w:rFonts w:ascii="Arial" w:hAnsi="Arial" w:cs="Arial"/>
          <w:sz w:val="24"/>
          <w:szCs w:val="24"/>
        </w:rPr>
        <w:t xml:space="preserve"> E CERTIFICADO</w:t>
      </w:r>
      <w:r w:rsidRPr="0041742A">
        <w:rPr>
          <w:rFonts w:ascii="Arial" w:hAnsi="Arial" w:cs="Arial"/>
          <w:sz w:val="24"/>
          <w:szCs w:val="24"/>
        </w:rPr>
        <w:t xml:space="preserve"> DO </w:t>
      </w:r>
      <w:r w:rsidR="00B05048" w:rsidRPr="0041742A">
        <w:rPr>
          <w:rFonts w:ascii="Arial" w:hAnsi="Arial" w:cs="Arial"/>
          <w:sz w:val="24"/>
          <w:szCs w:val="24"/>
        </w:rPr>
        <w:t>ÓRGÃO CENTRAL DO SISTEMA DE CONTROLE INTERNO</w:t>
      </w:r>
    </w:p>
    <w:p w:rsidR="005C7F4C" w:rsidRPr="0041742A" w:rsidRDefault="005C7F4C" w:rsidP="00B05048">
      <w:pPr>
        <w:jc w:val="center"/>
        <w:rPr>
          <w:rFonts w:ascii="Arial" w:hAnsi="Arial" w:cs="Arial"/>
          <w:sz w:val="24"/>
          <w:szCs w:val="24"/>
        </w:rPr>
      </w:pPr>
    </w:p>
    <w:p w:rsidR="00B05048" w:rsidRPr="0041742A" w:rsidRDefault="001363C8" w:rsidP="00B05048">
      <w:pPr>
        <w:jc w:val="center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>PREFEITURA MUNICIPAL DE CALMON</w:t>
      </w:r>
    </w:p>
    <w:p w:rsidR="005C7F4C" w:rsidRPr="0041742A" w:rsidRDefault="005C7F4C" w:rsidP="00B05048">
      <w:pPr>
        <w:jc w:val="center"/>
        <w:rPr>
          <w:rFonts w:ascii="Arial" w:hAnsi="Arial" w:cs="Arial"/>
          <w:sz w:val="24"/>
          <w:szCs w:val="24"/>
        </w:rPr>
      </w:pPr>
    </w:p>
    <w:p w:rsidR="00B05048" w:rsidRPr="0041742A" w:rsidRDefault="00B05048" w:rsidP="004C45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 xml:space="preserve"> Em at</w:t>
      </w:r>
      <w:r w:rsidR="00E04B48" w:rsidRPr="0041742A">
        <w:rPr>
          <w:rFonts w:ascii="Arial" w:hAnsi="Arial" w:cs="Arial"/>
          <w:sz w:val="24"/>
          <w:szCs w:val="24"/>
        </w:rPr>
        <w:t>endimento à exigência Da Instrução Normativa Nº20/2015 em seu anexo</w:t>
      </w:r>
      <w:r w:rsidR="001363C8" w:rsidRPr="0041742A">
        <w:rPr>
          <w:rFonts w:ascii="Arial" w:hAnsi="Arial" w:cs="Arial"/>
          <w:sz w:val="24"/>
          <w:szCs w:val="24"/>
        </w:rPr>
        <w:t xml:space="preserve"> </w:t>
      </w:r>
      <w:r w:rsidR="00363CCA" w:rsidRPr="0041742A">
        <w:rPr>
          <w:rFonts w:ascii="Arial" w:hAnsi="Arial" w:cs="Arial"/>
          <w:sz w:val="24"/>
          <w:szCs w:val="24"/>
        </w:rPr>
        <w:t>V,</w:t>
      </w:r>
      <w:r w:rsidRPr="0041742A">
        <w:rPr>
          <w:rFonts w:ascii="Arial" w:hAnsi="Arial" w:cs="Arial"/>
          <w:sz w:val="24"/>
          <w:szCs w:val="24"/>
        </w:rPr>
        <w:t xml:space="preserve"> no que se refere às contas prestadas pelo Prefeito do Mu</w:t>
      </w:r>
      <w:r w:rsidR="00363CCA" w:rsidRPr="0041742A">
        <w:rPr>
          <w:rFonts w:ascii="Arial" w:hAnsi="Arial" w:cs="Arial"/>
          <w:sz w:val="24"/>
          <w:szCs w:val="24"/>
        </w:rPr>
        <w:t>nicípio de</w:t>
      </w:r>
      <w:proofErr w:type="gramStart"/>
      <w:r w:rsidR="00363CCA" w:rsidRPr="0041742A">
        <w:rPr>
          <w:rFonts w:ascii="Arial" w:hAnsi="Arial" w:cs="Arial"/>
          <w:sz w:val="24"/>
          <w:szCs w:val="24"/>
        </w:rPr>
        <w:t xml:space="preserve">  </w:t>
      </w:r>
      <w:proofErr w:type="gramEnd"/>
      <w:r w:rsidR="00363CCA" w:rsidRPr="0041742A">
        <w:rPr>
          <w:rFonts w:ascii="Arial" w:hAnsi="Arial" w:cs="Arial"/>
          <w:sz w:val="24"/>
          <w:szCs w:val="24"/>
        </w:rPr>
        <w:t>Calmon</w:t>
      </w:r>
      <w:r w:rsidRPr="0041742A">
        <w:rPr>
          <w:rFonts w:ascii="Arial" w:hAnsi="Arial" w:cs="Arial"/>
          <w:sz w:val="24"/>
          <w:szCs w:val="24"/>
        </w:rPr>
        <w:t>, nos termos do artigo 71, I, da Constituição Federal, re</w:t>
      </w:r>
      <w:r w:rsidR="00F216EA" w:rsidRPr="0041742A">
        <w:rPr>
          <w:rFonts w:ascii="Arial" w:hAnsi="Arial" w:cs="Arial"/>
          <w:sz w:val="24"/>
          <w:szCs w:val="24"/>
        </w:rPr>
        <w:t>lativas ao exercício de 2020</w:t>
      </w:r>
      <w:r w:rsidR="001B4E47" w:rsidRPr="0041742A">
        <w:rPr>
          <w:rFonts w:ascii="Arial" w:hAnsi="Arial" w:cs="Arial"/>
          <w:sz w:val="24"/>
          <w:szCs w:val="24"/>
        </w:rPr>
        <w:t xml:space="preserve"> </w:t>
      </w:r>
      <w:r w:rsidRPr="0041742A">
        <w:rPr>
          <w:rFonts w:ascii="Arial" w:hAnsi="Arial" w:cs="Arial"/>
          <w:sz w:val="24"/>
          <w:szCs w:val="24"/>
        </w:rPr>
        <w:t xml:space="preserve">, notadamente no que respeita ao cumprimento das disposições constitucionais e legais relativas à forma e ao conteúdo dos demonstrativos e demais documentos apresentados, foi possível observar que: </w:t>
      </w:r>
    </w:p>
    <w:p w:rsidR="00B05048" w:rsidRPr="0041742A" w:rsidRDefault="00B05048" w:rsidP="004C456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 xml:space="preserve">A </w:t>
      </w:r>
      <w:r w:rsidR="001B4E47" w:rsidRPr="0041742A">
        <w:rPr>
          <w:rFonts w:ascii="Arial" w:hAnsi="Arial" w:cs="Arial"/>
          <w:sz w:val="24"/>
          <w:szCs w:val="24"/>
        </w:rPr>
        <w:t>prestação de contas</w:t>
      </w:r>
      <w:r w:rsidR="001049AD" w:rsidRPr="0041742A">
        <w:rPr>
          <w:rFonts w:ascii="Arial" w:hAnsi="Arial" w:cs="Arial"/>
          <w:sz w:val="24"/>
          <w:szCs w:val="24"/>
        </w:rPr>
        <w:t xml:space="preserve"> </w:t>
      </w:r>
      <w:r w:rsidRPr="0041742A">
        <w:rPr>
          <w:rFonts w:ascii="Arial" w:hAnsi="Arial" w:cs="Arial"/>
          <w:sz w:val="24"/>
          <w:szCs w:val="24"/>
        </w:rPr>
        <w:t xml:space="preserve">foi elaborada com observância dos parâmetros </w:t>
      </w:r>
      <w:r w:rsidR="001B4E47" w:rsidRPr="0041742A">
        <w:rPr>
          <w:rFonts w:ascii="Arial" w:hAnsi="Arial" w:cs="Arial"/>
          <w:sz w:val="24"/>
          <w:szCs w:val="24"/>
        </w:rPr>
        <w:t xml:space="preserve">legais </w:t>
      </w:r>
      <w:r w:rsidRPr="0041742A">
        <w:rPr>
          <w:rFonts w:ascii="Arial" w:hAnsi="Arial" w:cs="Arial"/>
          <w:sz w:val="24"/>
          <w:szCs w:val="24"/>
        </w:rPr>
        <w:t xml:space="preserve">tendo os demonstrativos contábeis e de gestão fiscal de acordo com os modelos e orientações definidos pela Lei Federal nº. 4.320/1964, pela Secretaria do Tesouro Nacional e decisões emanadas pelo Tribunal de </w:t>
      </w:r>
      <w:r w:rsidR="001B4E47" w:rsidRPr="0041742A">
        <w:rPr>
          <w:rFonts w:ascii="Arial" w:hAnsi="Arial" w:cs="Arial"/>
          <w:sz w:val="24"/>
          <w:szCs w:val="24"/>
        </w:rPr>
        <w:t>Contas do Estado de Santa Catarina</w:t>
      </w:r>
      <w:r w:rsidRPr="0041742A">
        <w:rPr>
          <w:rFonts w:ascii="Arial" w:hAnsi="Arial" w:cs="Arial"/>
          <w:sz w:val="24"/>
          <w:szCs w:val="24"/>
        </w:rPr>
        <w:t>;</w:t>
      </w:r>
    </w:p>
    <w:p w:rsidR="00582277" w:rsidRPr="0041742A" w:rsidRDefault="00582277" w:rsidP="004C456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582277" w:rsidRPr="0041742A" w:rsidRDefault="00582277" w:rsidP="004C456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>Limite de 25% das receitas de impostos e transferências:</w:t>
      </w:r>
    </w:p>
    <w:p w:rsidR="00ED5B34" w:rsidRPr="0041742A" w:rsidRDefault="00ED5B34" w:rsidP="004C4560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2277" w:rsidRPr="0041742A" w:rsidRDefault="00582277" w:rsidP="00791D33">
      <w:pPr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>Limite: mínimo de 25% proveniente de impostos, compreendida a proveniente de transferências, em gastos com Manutenção e Desenvolvime</w:t>
      </w:r>
      <w:r w:rsidR="00F216EA" w:rsidRPr="0041742A">
        <w:rPr>
          <w:rFonts w:ascii="Arial" w:hAnsi="Arial" w:cs="Arial"/>
          <w:sz w:val="24"/>
          <w:szCs w:val="24"/>
        </w:rPr>
        <w:t>nto do Ensino (exercício de 2020</w:t>
      </w:r>
      <w:r w:rsidRPr="0041742A">
        <w:rPr>
          <w:rFonts w:ascii="Arial" w:hAnsi="Arial" w:cs="Arial"/>
          <w:sz w:val="24"/>
          <w:szCs w:val="24"/>
        </w:rPr>
        <w:t xml:space="preserve">) – art. 212 da Constituição Federal. Apurou-se que o Município aplicou o montante de </w:t>
      </w:r>
      <w:r w:rsidR="00ED5B34" w:rsidRPr="0041742A">
        <w:rPr>
          <w:rFonts w:ascii="Arial" w:hAnsi="Arial" w:cs="Arial"/>
          <w:sz w:val="24"/>
          <w:szCs w:val="24"/>
        </w:rPr>
        <w:t>R</w:t>
      </w:r>
      <w:r w:rsidR="00791D33" w:rsidRPr="0041742A">
        <w:rPr>
          <w:rFonts w:ascii="Arial" w:hAnsi="Arial" w:cs="Arial"/>
          <w:sz w:val="24"/>
          <w:szCs w:val="24"/>
        </w:rPr>
        <w:t xml:space="preserve"> </w:t>
      </w:r>
      <w:r w:rsidR="00F216EA" w:rsidRPr="0041742A">
        <w:rPr>
          <w:rFonts w:ascii="Arial" w:hAnsi="Arial" w:cs="Arial"/>
          <w:sz w:val="24"/>
          <w:szCs w:val="24"/>
        </w:rPr>
        <w:t>3.912.266,74</w:t>
      </w:r>
      <w:r w:rsidRPr="0041742A">
        <w:rPr>
          <w:rFonts w:ascii="Arial" w:hAnsi="Arial" w:cs="Arial"/>
          <w:sz w:val="24"/>
          <w:szCs w:val="24"/>
        </w:rPr>
        <w:t xml:space="preserve">em gastos com manutenção e desenvolvimento do ensino, o que corresponde a </w:t>
      </w:r>
      <w:r w:rsidR="00F216EA" w:rsidRPr="0041742A">
        <w:rPr>
          <w:rFonts w:ascii="Arial" w:hAnsi="Arial" w:cs="Arial"/>
          <w:sz w:val="24"/>
          <w:szCs w:val="24"/>
        </w:rPr>
        <w:t>28,54</w:t>
      </w:r>
      <w:r w:rsidRPr="0041742A">
        <w:rPr>
          <w:rFonts w:ascii="Arial" w:hAnsi="Arial" w:cs="Arial"/>
          <w:sz w:val="24"/>
          <w:szCs w:val="24"/>
        </w:rPr>
        <w:t xml:space="preserve">% da receita proveniente de impostos, sendo aplicado A MAIOR o valor de </w:t>
      </w:r>
      <w:r w:rsidR="00AE53BB" w:rsidRPr="0041742A">
        <w:rPr>
          <w:rFonts w:ascii="Arial" w:hAnsi="Arial" w:cs="Arial"/>
          <w:sz w:val="24"/>
          <w:szCs w:val="24"/>
        </w:rPr>
        <w:t xml:space="preserve">R$ </w:t>
      </w:r>
      <w:r w:rsidR="00F216EA" w:rsidRPr="0041742A">
        <w:rPr>
          <w:rFonts w:ascii="Arial" w:hAnsi="Arial" w:cs="Arial"/>
          <w:sz w:val="24"/>
          <w:szCs w:val="24"/>
        </w:rPr>
        <w:t>485.293,34</w:t>
      </w:r>
      <w:r w:rsidRPr="0041742A">
        <w:rPr>
          <w:rFonts w:ascii="Arial" w:hAnsi="Arial" w:cs="Arial"/>
          <w:sz w:val="24"/>
          <w:szCs w:val="24"/>
        </w:rPr>
        <w:t>, representando</w:t>
      </w:r>
      <w:proofErr w:type="gramStart"/>
      <w:r w:rsidR="00AE53BB" w:rsidRPr="0041742A">
        <w:rPr>
          <w:rFonts w:ascii="Arial" w:hAnsi="Arial" w:cs="Arial"/>
          <w:sz w:val="24"/>
          <w:szCs w:val="24"/>
        </w:rPr>
        <w:t xml:space="preserve"> </w:t>
      </w:r>
      <w:r w:rsidRPr="0041742A">
        <w:rPr>
          <w:rFonts w:ascii="Arial" w:hAnsi="Arial" w:cs="Arial"/>
          <w:sz w:val="24"/>
          <w:szCs w:val="24"/>
        </w:rPr>
        <w:t xml:space="preserve"> </w:t>
      </w:r>
      <w:proofErr w:type="gramEnd"/>
      <w:r w:rsidR="00F216EA" w:rsidRPr="0041742A">
        <w:rPr>
          <w:rFonts w:ascii="Arial" w:hAnsi="Arial" w:cs="Arial"/>
          <w:sz w:val="24"/>
          <w:szCs w:val="24"/>
        </w:rPr>
        <w:t>3,54</w:t>
      </w:r>
      <w:r w:rsidRPr="0041742A">
        <w:rPr>
          <w:rFonts w:ascii="Arial" w:hAnsi="Arial" w:cs="Arial"/>
          <w:sz w:val="24"/>
          <w:szCs w:val="24"/>
        </w:rPr>
        <w:t xml:space="preserve">% </w:t>
      </w:r>
      <w:r w:rsidR="00AE53BB" w:rsidRPr="0041742A">
        <w:rPr>
          <w:rFonts w:ascii="Arial" w:hAnsi="Arial" w:cs="Arial"/>
          <w:sz w:val="24"/>
          <w:szCs w:val="24"/>
        </w:rPr>
        <w:t xml:space="preserve"> </w:t>
      </w:r>
      <w:r w:rsidRPr="0041742A">
        <w:rPr>
          <w:rFonts w:ascii="Arial" w:hAnsi="Arial" w:cs="Arial"/>
          <w:sz w:val="24"/>
          <w:szCs w:val="24"/>
        </w:rPr>
        <w:t>do mesmo parâmetro, CUMPRINDO o disposto no artigo 212 da Constituição Federal.</w:t>
      </w:r>
    </w:p>
    <w:p w:rsidR="00375640" w:rsidRPr="0041742A" w:rsidRDefault="00375640" w:rsidP="004C4560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5640" w:rsidRPr="0041742A" w:rsidRDefault="00375640" w:rsidP="004C456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lastRenderedPageBreak/>
        <w:t>Limite máximo para os gastos com pessoal do Município</w:t>
      </w:r>
      <w:r w:rsidR="00266D09" w:rsidRPr="0041742A">
        <w:rPr>
          <w:rFonts w:ascii="Arial" w:hAnsi="Arial" w:cs="Arial"/>
          <w:sz w:val="24"/>
          <w:szCs w:val="24"/>
        </w:rPr>
        <w:t>.</w:t>
      </w:r>
    </w:p>
    <w:p w:rsidR="00375640" w:rsidRPr="0041742A" w:rsidRDefault="00375640" w:rsidP="004C4560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>Limite: 60% da Receita Corrente Líquida para os gastos com pessoal</w:t>
      </w:r>
      <w:r w:rsidR="00266D09" w:rsidRPr="0041742A">
        <w:rPr>
          <w:rFonts w:ascii="Arial" w:hAnsi="Arial" w:cs="Arial"/>
          <w:sz w:val="24"/>
          <w:szCs w:val="24"/>
        </w:rPr>
        <w:t xml:space="preserve"> </w:t>
      </w:r>
      <w:r w:rsidRPr="0041742A">
        <w:rPr>
          <w:rFonts w:ascii="Arial" w:hAnsi="Arial" w:cs="Arial"/>
          <w:sz w:val="24"/>
          <w:szCs w:val="24"/>
        </w:rPr>
        <w:t>do Município – art. 169 da Constituição Federal c/c o art. 19, III da Lei</w:t>
      </w:r>
      <w:r w:rsidR="00266D09" w:rsidRPr="0041742A">
        <w:rPr>
          <w:rFonts w:ascii="Arial" w:hAnsi="Arial" w:cs="Arial"/>
          <w:sz w:val="24"/>
          <w:szCs w:val="24"/>
        </w:rPr>
        <w:t xml:space="preserve"> </w:t>
      </w:r>
      <w:r w:rsidRPr="0041742A">
        <w:rPr>
          <w:rFonts w:ascii="Arial" w:hAnsi="Arial" w:cs="Arial"/>
          <w:sz w:val="24"/>
          <w:szCs w:val="24"/>
        </w:rPr>
        <w:t>Complementar nº 101/2000 (LRF).</w:t>
      </w:r>
    </w:p>
    <w:p w:rsidR="00375640" w:rsidRPr="0041742A" w:rsidRDefault="00375640" w:rsidP="00D9038A">
      <w:pPr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 xml:space="preserve">A despesa líquida com pessoal do Município de Calmon realizada nos últimos doze meses no valor de R$ </w:t>
      </w:r>
      <w:r w:rsidR="00F216EA" w:rsidRPr="0041742A">
        <w:rPr>
          <w:rFonts w:ascii="Arial" w:hAnsi="Arial" w:cs="Arial"/>
          <w:sz w:val="24"/>
          <w:szCs w:val="24"/>
        </w:rPr>
        <w:t>11.318.403,04</w:t>
      </w:r>
      <w:r w:rsidRPr="0041742A">
        <w:rPr>
          <w:rFonts w:ascii="Arial" w:hAnsi="Arial" w:cs="Arial"/>
          <w:sz w:val="24"/>
          <w:szCs w:val="24"/>
        </w:rPr>
        <w:t>, equivale a</w:t>
      </w:r>
      <w:proofErr w:type="gramStart"/>
      <w:r w:rsidRPr="0041742A">
        <w:rPr>
          <w:rFonts w:ascii="Arial" w:hAnsi="Arial" w:cs="Arial"/>
          <w:sz w:val="24"/>
          <w:szCs w:val="24"/>
        </w:rPr>
        <w:t xml:space="preserve"> </w:t>
      </w:r>
      <w:r w:rsidR="00D9038A" w:rsidRPr="0041742A">
        <w:rPr>
          <w:rFonts w:ascii="Arial" w:hAnsi="Arial" w:cs="Arial"/>
          <w:sz w:val="24"/>
          <w:szCs w:val="24"/>
        </w:rPr>
        <w:t xml:space="preserve"> </w:t>
      </w:r>
      <w:proofErr w:type="gramEnd"/>
      <w:r w:rsidR="00F216EA" w:rsidRPr="0041742A">
        <w:rPr>
          <w:rFonts w:ascii="Arial" w:hAnsi="Arial" w:cs="Arial"/>
          <w:sz w:val="24"/>
          <w:szCs w:val="24"/>
        </w:rPr>
        <w:t>60,76</w:t>
      </w:r>
      <w:r w:rsidRPr="0041742A">
        <w:rPr>
          <w:rFonts w:ascii="Arial" w:hAnsi="Arial" w:cs="Arial"/>
          <w:sz w:val="24"/>
          <w:szCs w:val="24"/>
        </w:rPr>
        <w:t xml:space="preserve">% da receita corrente líquida arrecadada neste período,  </w:t>
      </w:r>
      <w:r w:rsidR="00F216EA" w:rsidRPr="0041742A">
        <w:rPr>
          <w:rFonts w:ascii="Arial" w:hAnsi="Arial" w:cs="Arial"/>
          <w:sz w:val="24"/>
          <w:szCs w:val="24"/>
        </w:rPr>
        <w:t xml:space="preserve">NÃO </w:t>
      </w:r>
      <w:r w:rsidRPr="0041742A">
        <w:rPr>
          <w:rFonts w:ascii="Arial" w:hAnsi="Arial" w:cs="Arial"/>
          <w:sz w:val="24"/>
          <w:szCs w:val="24"/>
        </w:rPr>
        <w:t xml:space="preserve">CUMPRIMENTO </w:t>
      </w:r>
      <w:r w:rsidR="0028633A" w:rsidRPr="0041742A">
        <w:rPr>
          <w:rFonts w:ascii="Arial" w:hAnsi="Arial" w:cs="Arial"/>
          <w:sz w:val="24"/>
          <w:szCs w:val="24"/>
        </w:rPr>
        <w:t xml:space="preserve"> assim o disposto d</w:t>
      </w:r>
      <w:r w:rsidRPr="0041742A">
        <w:rPr>
          <w:rFonts w:ascii="Arial" w:hAnsi="Arial" w:cs="Arial"/>
          <w:sz w:val="24"/>
          <w:szCs w:val="24"/>
        </w:rPr>
        <w:t>o art. 169 da Constituição Federal, regulamentado pela Lei Complementar n° 101 de 04 de maio de 2000, o qual estabelece para este fim, limite prudencial e máximo de 57 e 60% respectivamente.</w:t>
      </w:r>
    </w:p>
    <w:p w:rsidR="00266D09" w:rsidRPr="0041742A" w:rsidRDefault="00266D09" w:rsidP="004C4560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38C2" w:rsidRPr="0041742A" w:rsidRDefault="00E338C2" w:rsidP="004C456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>Limite máximo para os gastos com pessoal do Poder</w:t>
      </w:r>
      <w:r w:rsidR="00266D09" w:rsidRPr="0041742A">
        <w:rPr>
          <w:rFonts w:ascii="Arial" w:hAnsi="Arial" w:cs="Arial"/>
          <w:sz w:val="24"/>
          <w:szCs w:val="24"/>
        </w:rPr>
        <w:t xml:space="preserve"> </w:t>
      </w:r>
      <w:r w:rsidRPr="0041742A">
        <w:rPr>
          <w:rFonts w:ascii="Arial" w:hAnsi="Arial" w:cs="Arial"/>
          <w:sz w:val="24"/>
          <w:szCs w:val="24"/>
        </w:rPr>
        <w:t>Executivo</w:t>
      </w:r>
    </w:p>
    <w:p w:rsidR="00E338C2" w:rsidRPr="0041742A" w:rsidRDefault="00E338C2" w:rsidP="004C4560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>Limite: 54% da Receita Corrente Líquida para os gastos com pessoal</w:t>
      </w:r>
      <w:r w:rsidR="00266D09" w:rsidRPr="0041742A">
        <w:rPr>
          <w:rFonts w:ascii="Arial" w:hAnsi="Arial" w:cs="Arial"/>
          <w:sz w:val="24"/>
          <w:szCs w:val="24"/>
        </w:rPr>
        <w:t xml:space="preserve"> </w:t>
      </w:r>
      <w:r w:rsidRPr="0041742A">
        <w:rPr>
          <w:rFonts w:ascii="Arial" w:hAnsi="Arial" w:cs="Arial"/>
          <w:sz w:val="24"/>
          <w:szCs w:val="24"/>
        </w:rPr>
        <w:t>do Poder Executivo (Prefeitura, Fundos, Fundações, Autarquias e Empresas Estatais Dependentes) – Artigo 20, III, 'b' da Lei Complementar nº 101/2000 (LRF).</w:t>
      </w:r>
    </w:p>
    <w:p w:rsidR="002726BB" w:rsidRPr="0041742A" w:rsidRDefault="002726BB" w:rsidP="004C4560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4560" w:rsidRPr="0041742A" w:rsidRDefault="004C4560" w:rsidP="0022507A">
      <w:pPr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>A Despesa Total com Pessoal do Poder Executivo do Município no período examinado (3ºquadrim</w:t>
      </w:r>
      <w:r w:rsidR="00F216EA" w:rsidRPr="0041742A">
        <w:rPr>
          <w:rFonts w:ascii="Arial" w:hAnsi="Arial" w:cs="Arial"/>
          <w:sz w:val="24"/>
          <w:szCs w:val="24"/>
        </w:rPr>
        <w:t>estre de 2020) representou</w:t>
      </w:r>
      <w:proofErr w:type="gramStart"/>
      <w:r w:rsidR="00F216EA" w:rsidRPr="0041742A">
        <w:rPr>
          <w:rFonts w:ascii="Arial" w:hAnsi="Arial" w:cs="Arial"/>
          <w:sz w:val="24"/>
          <w:szCs w:val="24"/>
        </w:rPr>
        <w:t xml:space="preserve">  </w:t>
      </w:r>
      <w:proofErr w:type="gramEnd"/>
      <w:r w:rsidR="00F216EA" w:rsidRPr="0041742A">
        <w:rPr>
          <w:rFonts w:ascii="Arial" w:hAnsi="Arial" w:cs="Arial"/>
          <w:sz w:val="24"/>
          <w:szCs w:val="24"/>
        </w:rPr>
        <w:t>56,6</w:t>
      </w:r>
      <w:r w:rsidR="0022507A" w:rsidRPr="0041742A">
        <w:rPr>
          <w:rFonts w:ascii="Arial" w:hAnsi="Arial" w:cs="Arial"/>
          <w:sz w:val="24"/>
          <w:szCs w:val="24"/>
        </w:rPr>
        <w:t>1</w:t>
      </w:r>
      <w:r w:rsidRPr="0041742A">
        <w:rPr>
          <w:rFonts w:ascii="Arial" w:hAnsi="Arial" w:cs="Arial"/>
          <w:sz w:val="24"/>
          <w:szCs w:val="24"/>
        </w:rPr>
        <w:t>% da Receita Corrente Líquida (R$</w:t>
      </w:r>
      <w:r w:rsidR="00F216EA" w:rsidRPr="0041742A">
        <w:rPr>
          <w:rFonts w:ascii="Arial" w:hAnsi="Arial" w:cs="Arial"/>
          <w:sz w:val="24"/>
          <w:szCs w:val="24"/>
        </w:rPr>
        <w:t>18.626.920,82</w:t>
      </w:r>
      <w:r w:rsidRPr="0041742A">
        <w:rPr>
          <w:rFonts w:ascii="Arial" w:hAnsi="Arial" w:cs="Arial"/>
          <w:sz w:val="24"/>
          <w:szCs w:val="24"/>
        </w:rPr>
        <w:t>), ou seja, acima de 95% do limite legal previsto na alínea “b” do inciso III do artigo 20 da Lei Complementar n</w:t>
      </w:r>
      <w:r w:rsidR="0022507A" w:rsidRPr="0041742A">
        <w:rPr>
          <w:rFonts w:ascii="Arial" w:hAnsi="Arial" w:cs="Arial"/>
          <w:sz w:val="24"/>
          <w:szCs w:val="24"/>
        </w:rPr>
        <w:t>º 101/2000, que corresponde a 53</w:t>
      </w:r>
      <w:r w:rsidRPr="0041742A">
        <w:rPr>
          <w:rFonts w:ascii="Arial" w:hAnsi="Arial" w:cs="Arial"/>
          <w:sz w:val="24"/>
          <w:szCs w:val="24"/>
        </w:rPr>
        <w:t>,</w:t>
      </w:r>
      <w:r w:rsidR="0022507A" w:rsidRPr="0041742A">
        <w:rPr>
          <w:rFonts w:ascii="Arial" w:hAnsi="Arial" w:cs="Arial"/>
          <w:sz w:val="24"/>
          <w:szCs w:val="24"/>
        </w:rPr>
        <w:t>41</w:t>
      </w:r>
      <w:r w:rsidRPr="0041742A">
        <w:rPr>
          <w:rFonts w:ascii="Arial" w:hAnsi="Arial" w:cs="Arial"/>
          <w:sz w:val="24"/>
          <w:szCs w:val="24"/>
        </w:rPr>
        <w:t>%, devendo ser obedecidas as vedações previstas no artigo 22, parágrafo único, da citada Lei.</w:t>
      </w:r>
    </w:p>
    <w:p w:rsidR="00266D09" w:rsidRPr="0041742A" w:rsidRDefault="009F5BFF" w:rsidP="00F216EA">
      <w:p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sz w:val="26"/>
          <w:szCs w:val="26"/>
        </w:rPr>
      </w:pPr>
      <w:r w:rsidRPr="0041742A">
        <w:rPr>
          <w:rFonts w:ascii="Garamond-Italic" w:hAnsi="Garamond-Italic" w:cs="Garamond-Italic"/>
          <w:i/>
          <w:iCs/>
          <w:sz w:val="26"/>
          <w:szCs w:val="26"/>
        </w:rPr>
        <w:t xml:space="preserve">Em função da decretação de estado de calamidade pública, conforme disposto no art. 1º do Decreto Legislativo SC nº 18.332 de 20/03/2020, aplicam-se as disposições do art. 65 da Lei Complementar nº 101/2000, que trata da suspensão do cumprimento dos prazos previstos nos </w:t>
      </w:r>
      <w:proofErr w:type="spellStart"/>
      <w:r w:rsidRPr="0041742A">
        <w:rPr>
          <w:rFonts w:ascii="Garamond-Italic" w:hAnsi="Garamond-Italic" w:cs="Garamond-Italic"/>
          <w:i/>
          <w:iCs/>
          <w:sz w:val="26"/>
          <w:szCs w:val="26"/>
        </w:rPr>
        <w:t>arts</w:t>
      </w:r>
      <w:proofErr w:type="spellEnd"/>
      <w:r w:rsidRPr="0041742A">
        <w:rPr>
          <w:rFonts w:ascii="Garamond-Italic" w:hAnsi="Garamond-Italic" w:cs="Garamond-Italic"/>
          <w:i/>
          <w:iCs/>
          <w:sz w:val="26"/>
          <w:szCs w:val="26"/>
        </w:rPr>
        <w:t xml:space="preserve">. 23, 31 e 70, bem como quanto do atingimento dos resultados fiscais e a limitação de empenho prevista no art. 9º do mesmo diploma legal, enquanto viger o prazo estipulado no Decreto Legislativo </w:t>
      </w:r>
      <w:proofErr w:type="gramStart"/>
      <w:r w:rsidRPr="0041742A">
        <w:rPr>
          <w:rFonts w:ascii="Garamond-Italic" w:hAnsi="Garamond-Italic" w:cs="Garamond-Italic"/>
          <w:i/>
          <w:iCs/>
          <w:sz w:val="26"/>
          <w:szCs w:val="26"/>
        </w:rPr>
        <w:t>supra mencionado</w:t>
      </w:r>
      <w:proofErr w:type="gramEnd"/>
      <w:r w:rsidRPr="0041742A">
        <w:rPr>
          <w:rFonts w:ascii="Garamond-Italic" w:hAnsi="Garamond-Italic" w:cs="Garamond-Italic"/>
          <w:i/>
          <w:iCs/>
          <w:sz w:val="26"/>
          <w:szCs w:val="26"/>
        </w:rPr>
        <w:t>, com relação ao 2º bimestre ao 6º bimestre de remessa de dados do Sistema e-Sfinge de 2020.</w:t>
      </w:r>
    </w:p>
    <w:p w:rsidR="00266D09" w:rsidRPr="0041742A" w:rsidRDefault="00E60D29" w:rsidP="004C456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lastRenderedPageBreak/>
        <w:t xml:space="preserve">Limite </w:t>
      </w:r>
      <w:r w:rsidR="00266D09" w:rsidRPr="0041742A">
        <w:rPr>
          <w:rFonts w:ascii="Arial" w:hAnsi="Arial" w:cs="Arial"/>
          <w:sz w:val="24"/>
          <w:szCs w:val="24"/>
        </w:rPr>
        <w:t>máximo para os gastos com pessoal do Poder</w:t>
      </w:r>
      <w:r w:rsidR="00B27DEA" w:rsidRPr="0041742A">
        <w:rPr>
          <w:rFonts w:ascii="Arial" w:hAnsi="Arial" w:cs="Arial"/>
          <w:sz w:val="24"/>
          <w:szCs w:val="24"/>
        </w:rPr>
        <w:t xml:space="preserve"> </w:t>
      </w:r>
      <w:r w:rsidR="00266D09" w:rsidRPr="0041742A">
        <w:rPr>
          <w:rFonts w:ascii="Arial" w:hAnsi="Arial" w:cs="Arial"/>
          <w:sz w:val="24"/>
          <w:szCs w:val="24"/>
        </w:rPr>
        <w:t>Legislativo</w:t>
      </w:r>
    </w:p>
    <w:p w:rsidR="00266D09" w:rsidRPr="0041742A" w:rsidRDefault="00266D09" w:rsidP="004C4560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>Limite: 6% da Receita Corrente Líquida para os gastos com pessoal</w:t>
      </w:r>
      <w:r w:rsidR="00B27DEA" w:rsidRPr="0041742A">
        <w:rPr>
          <w:rFonts w:ascii="Arial" w:hAnsi="Arial" w:cs="Arial"/>
          <w:sz w:val="24"/>
          <w:szCs w:val="24"/>
        </w:rPr>
        <w:t xml:space="preserve"> </w:t>
      </w:r>
      <w:r w:rsidRPr="0041742A">
        <w:rPr>
          <w:rFonts w:ascii="Arial" w:hAnsi="Arial" w:cs="Arial"/>
          <w:sz w:val="24"/>
          <w:szCs w:val="24"/>
        </w:rPr>
        <w:t>do Poder Legislativo (Câmara Municipal) – Artigo 20, III, 'a' da Lei Complementar nº 101/2000 (LRF).</w:t>
      </w:r>
    </w:p>
    <w:p w:rsidR="002726BB" w:rsidRPr="0041742A" w:rsidRDefault="002726BB" w:rsidP="0022507A">
      <w:pPr>
        <w:jc w:val="both"/>
        <w:rPr>
          <w:rFonts w:ascii="Arial" w:hAnsi="Arial" w:cs="Arial"/>
        </w:rPr>
      </w:pPr>
      <w:r w:rsidRPr="0041742A">
        <w:rPr>
          <w:rFonts w:ascii="Arial" w:hAnsi="Arial" w:cs="Arial"/>
          <w:sz w:val="24"/>
          <w:szCs w:val="24"/>
        </w:rPr>
        <w:t xml:space="preserve">A despesa líquida com pessoal do Poder Legislativo realizado nos últimos doze meses no valor de R$ </w:t>
      </w:r>
      <w:r w:rsidR="00F216EA" w:rsidRPr="0041742A">
        <w:rPr>
          <w:rFonts w:ascii="Arial" w:hAnsi="Arial" w:cs="Arial"/>
          <w:sz w:val="24"/>
          <w:szCs w:val="24"/>
        </w:rPr>
        <w:t>774.516,78</w:t>
      </w:r>
      <w:r w:rsidRPr="0041742A">
        <w:rPr>
          <w:rFonts w:ascii="Arial" w:hAnsi="Arial" w:cs="Arial"/>
          <w:sz w:val="24"/>
          <w:szCs w:val="24"/>
        </w:rPr>
        <w:t xml:space="preserve">, equivale a </w:t>
      </w:r>
      <w:r w:rsidR="00F216EA" w:rsidRPr="0041742A">
        <w:rPr>
          <w:rFonts w:ascii="Arial" w:hAnsi="Arial" w:cs="Arial"/>
          <w:sz w:val="24"/>
          <w:szCs w:val="24"/>
        </w:rPr>
        <w:t>4,16</w:t>
      </w:r>
      <w:r w:rsidRPr="0041742A">
        <w:rPr>
          <w:rFonts w:ascii="Arial" w:hAnsi="Arial" w:cs="Arial"/>
          <w:sz w:val="24"/>
          <w:szCs w:val="24"/>
        </w:rPr>
        <w:t>% da receita corrente líquida arrecadada neste período, CUMPRINDO desta forma, os limites dispostos no art. 20, inciso III, alínea “a” da Lei Complementar n° 101/2000, conforme pode - se observar</w:t>
      </w:r>
      <w:r w:rsidRPr="0041742A">
        <w:rPr>
          <w:rFonts w:ascii="Arial" w:hAnsi="Arial" w:cs="Arial"/>
        </w:rPr>
        <w:t>:</w:t>
      </w:r>
    </w:p>
    <w:p w:rsidR="00EC496A" w:rsidRPr="0041742A" w:rsidRDefault="00EC496A" w:rsidP="004C456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>Aplicação de 15% de Recursos em SAÚDE</w:t>
      </w:r>
    </w:p>
    <w:p w:rsidR="00B007C8" w:rsidRPr="0041742A" w:rsidRDefault="00B007C8" w:rsidP="00B007C8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4C4560" w:rsidRPr="0041742A" w:rsidRDefault="004C4560" w:rsidP="007711F4">
      <w:pPr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 xml:space="preserve">Até o período em análise, foram realizadas despesas em ações e serviços públicos de saúde na ordem de R$ </w:t>
      </w:r>
      <w:r w:rsidR="00F216EA" w:rsidRPr="00C0510B">
        <w:rPr>
          <w:rFonts w:ascii="Arial" w:hAnsi="Arial" w:cs="Arial"/>
          <w:sz w:val="24"/>
          <w:szCs w:val="24"/>
        </w:rPr>
        <w:t>2.679.064,38</w:t>
      </w:r>
      <w:r w:rsidR="00F216EA" w:rsidRPr="0041742A">
        <w:rPr>
          <w:rFonts w:ascii="Arial" w:hAnsi="Arial" w:cs="Arial"/>
          <w:sz w:val="24"/>
          <w:szCs w:val="24"/>
        </w:rPr>
        <w:t>, correspondente a 20,49</w:t>
      </w:r>
      <w:r w:rsidRPr="0041742A">
        <w:rPr>
          <w:rFonts w:ascii="Arial" w:hAnsi="Arial" w:cs="Arial"/>
          <w:sz w:val="24"/>
          <w:szCs w:val="24"/>
        </w:rPr>
        <w:t>% das receitas provenientes de impostos e transferências, resultando em uma aplicaç</w:t>
      </w:r>
      <w:r w:rsidR="00574AAC" w:rsidRPr="0041742A">
        <w:rPr>
          <w:rFonts w:ascii="Arial" w:hAnsi="Arial" w:cs="Arial"/>
          <w:sz w:val="24"/>
          <w:szCs w:val="24"/>
        </w:rPr>
        <w:t>ão a MAIOR no equivalente a 5,49</w:t>
      </w:r>
      <w:r w:rsidRPr="0041742A">
        <w:rPr>
          <w:rFonts w:ascii="Arial" w:hAnsi="Arial" w:cs="Arial"/>
          <w:sz w:val="24"/>
          <w:szCs w:val="24"/>
        </w:rPr>
        <w:t xml:space="preserve"> %, acima do limite mínimo. Verifica-se o CUMPRIMENTO do disposto no art. 198 da Constituição Federal e § 1° do art. 77 do Ato das Disposições Constitucionais Transitórias – ADCT.</w:t>
      </w:r>
    </w:p>
    <w:p w:rsidR="00B007C8" w:rsidRPr="0041742A" w:rsidRDefault="00B007C8" w:rsidP="00B007C8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4560" w:rsidRPr="0041742A" w:rsidRDefault="004C4560" w:rsidP="004C456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 xml:space="preserve">Aplicação de 60% dos Recursos do FUNDEB na Valorização dos Profissionais do Magistério da Educação Básica </w:t>
      </w:r>
    </w:p>
    <w:p w:rsidR="004C4560" w:rsidRPr="0041742A" w:rsidRDefault="004C4560" w:rsidP="004C4560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4C4560" w:rsidRPr="0041742A" w:rsidRDefault="004C4560" w:rsidP="004C4560">
      <w:pPr>
        <w:pStyle w:val="PargrafodaLista"/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  <w:r w:rsidRPr="0041742A">
        <w:rPr>
          <w:rFonts w:ascii="Arial" w:hAnsi="Arial" w:cs="Arial"/>
          <w:sz w:val="23"/>
          <w:szCs w:val="23"/>
        </w:rPr>
        <w:t xml:space="preserve">Dispõe o inciso XII do artigo 60 do Ato das Disposições Constitucionais Transitórias (ADCT), incluído pela Emenda Constitucional nº 53, de 2006 que proporção não inferior a 60% (sessenta por cento) de cada Fundo referido no inciso I do caput deste artigo será destinada ao pagamento dos profissionais do magistério da educação básica em efetivo exercício. </w:t>
      </w:r>
    </w:p>
    <w:p w:rsidR="00443D4A" w:rsidRPr="0041742A" w:rsidRDefault="004C4560" w:rsidP="00E20B3B">
      <w:pPr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>No exercício analisado, o Município de Calmon também</w:t>
      </w:r>
      <w:proofErr w:type="gramStart"/>
      <w:r w:rsidRPr="0041742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1742A">
        <w:rPr>
          <w:rFonts w:ascii="Arial" w:hAnsi="Arial" w:cs="Arial"/>
          <w:sz w:val="24"/>
          <w:szCs w:val="24"/>
        </w:rPr>
        <w:t xml:space="preserve">realizou despesas Empenhadas com a remuneração dos profissionais do magistério no valor de R$ </w:t>
      </w:r>
      <w:r w:rsidR="00574AAC" w:rsidRPr="0041742A">
        <w:rPr>
          <w:rFonts w:ascii="Arial" w:hAnsi="Arial" w:cs="Arial"/>
          <w:sz w:val="24"/>
          <w:szCs w:val="24"/>
        </w:rPr>
        <w:t>3.070.098,08</w:t>
      </w:r>
      <w:r w:rsidR="00574AAC" w:rsidRPr="0041742A">
        <w:rPr>
          <w:rFonts w:ascii="Arial" w:hAnsi="Arial" w:cs="Arial"/>
          <w:sz w:val="24"/>
          <w:szCs w:val="24"/>
        </w:rPr>
        <w:t xml:space="preserve"> correspondente a 67,01</w:t>
      </w:r>
      <w:r w:rsidRPr="0041742A">
        <w:rPr>
          <w:rFonts w:ascii="Arial" w:hAnsi="Arial" w:cs="Arial"/>
          <w:sz w:val="24"/>
          <w:szCs w:val="24"/>
        </w:rPr>
        <w:t xml:space="preserve">% dos recursos do FUNDEB </w:t>
      </w:r>
      <w:r w:rsidRPr="0041742A">
        <w:rPr>
          <w:rFonts w:ascii="Arial" w:hAnsi="Arial" w:cs="Arial"/>
          <w:sz w:val="24"/>
          <w:szCs w:val="24"/>
        </w:rPr>
        <w:lastRenderedPageBreak/>
        <w:t xml:space="preserve">recebidos no exercício. Constata-se uma Aplicação à Maior no montante de </w:t>
      </w:r>
      <w:proofErr w:type="gramStart"/>
      <w:r w:rsidRPr="0041742A">
        <w:rPr>
          <w:rFonts w:ascii="Arial" w:hAnsi="Arial" w:cs="Arial"/>
          <w:sz w:val="24"/>
          <w:szCs w:val="24"/>
        </w:rPr>
        <w:t xml:space="preserve">R$ </w:t>
      </w:r>
      <w:r w:rsidR="005B59F5" w:rsidRPr="0041742A">
        <w:rPr>
          <w:rFonts w:ascii="Arial" w:hAnsi="Arial" w:cs="Arial"/>
          <w:sz w:val="24"/>
          <w:szCs w:val="24"/>
        </w:rPr>
        <w:t>215.194,91</w:t>
      </w:r>
      <w:r w:rsidR="005B59F5" w:rsidRPr="0041742A">
        <w:rPr>
          <w:rFonts w:ascii="Verdana" w:hAnsi="Verdana"/>
          <w:sz w:val="14"/>
          <w:szCs w:val="14"/>
          <w:shd w:val="clear" w:color="auto" w:fill="FFFFFF"/>
        </w:rPr>
        <w:t xml:space="preserve"> </w:t>
      </w:r>
      <w:r w:rsidR="005B59F5" w:rsidRPr="0041742A">
        <w:rPr>
          <w:rFonts w:ascii="Arial" w:hAnsi="Arial" w:cs="Arial"/>
          <w:sz w:val="24"/>
          <w:szCs w:val="24"/>
        </w:rPr>
        <w:t>equivalente</w:t>
      </w:r>
      <w:proofErr w:type="gramEnd"/>
      <w:r w:rsidR="005B59F5" w:rsidRPr="0041742A">
        <w:rPr>
          <w:rFonts w:ascii="Arial" w:hAnsi="Arial" w:cs="Arial"/>
          <w:sz w:val="24"/>
          <w:szCs w:val="24"/>
        </w:rPr>
        <w:t xml:space="preserve"> a 7,01</w:t>
      </w:r>
      <w:r w:rsidRPr="0041742A">
        <w:rPr>
          <w:rFonts w:ascii="Arial" w:hAnsi="Arial" w:cs="Arial"/>
          <w:sz w:val="24"/>
          <w:szCs w:val="24"/>
        </w:rPr>
        <w:t>%, CUMPRINDO o estabelecido no artigo 60, § 5º do Ato das Disposições Constitucionais transitórias e no artigo 7º da Lei Federal nº 9.424/96.</w:t>
      </w:r>
    </w:p>
    <w:p w:rsidR="00443D4A" w:rsidRPr="0041742A" w:rsidRDefault="00443D4A" w:rsidP="00E20B3B">
      <w:pPr>
        <w:jc w:val="both"/>
        <w:rPr>
          <w:rFonts w:ascii="Arial" w:hAnsi="Arial" w:cs="Arial"/>
          <w:sz w:val="24"/>
          <w:szCs w:val="24"/>
        </w:rPr>
      </w:pPr>
    </w:p>
    <w:p w:rsidR="00443D4A" w:rsidRPr="0041742A" w:rsidRDefault="00443D4A" w:rsidP="00443D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1742A">
        <w:rPr>
          <w:rFonts w:ascii="Arial" w:hAnsi="Arial" w:cs="Arial"/>
          <w:bCs/>
          <w:sz w:val="24"/>
          <w:szCs w:val="24"/>
        </w:rPr>
        <w:t>Aplicação de 95% dos Recursos do FUNDEB</w:t>
      </w:r>
    </w:p>
    <w:p w:rsidR="00443D4A" w:rsidRPr="0041742A" w:rsidRDefault="00443D4A" w:rsidP="00443D4A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443D4A" w:rsidRPr="0041742A" w:rsidRDefault="00443D4A" w:rsidP="00443D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>Estabelece o artigo 21 da Lei Federal n° 11.494/2007 que regulamenta o FUNDEB:</w:t>
      </w:r>
    </w:p>
    <w:p w:rsidR="00443D4A" w:rsidRPr="0041742A" w:rsidRDefault="00443D4A" w:rsidP="00443D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ab/>
        <w:t xml:space="preserve">Art. 21. Os recursos dos Fundos, inclusive aqueles oriundos de complementação da União, serão utilizados pelos Estados, pelo Distrito Federal e pelos Municípios, no exercício financeiro em que lhes forem creditados, em </w:t>
      </w:r>
      <w:proofErr w:type="gramStart"/>
      <w:r w:rsidRPr="0041742A">
        <w:rPr>
          <w:rFonts w:ascii="Arial" w:hAnsi="Arial" w:cs="Arial"/>
          <w:sz w:val="24"/>
          <w:szCs w:val="24"/>
        </w:rPr>
        <w:t>ações considerada</w:t>
      </w:r>
      <w:proofErr w:type="gramEnd"/>
      <w:r w:rsidRPr="0041742A">
        <w:rPr>
          <w:rFonts w:ascii="Arial" w:hAnsi="Arial" w:cs="Arial"/>
          <w:sz w:val="24"/>
          <w:szCs w:val="24"/>
        </w:rPr>
        <w:t xml:space="preserve"> como de manutenção e desenvolvimento do ensino para a educação básica pública, conforme disposto no art. 70 da Lei nº 9.394, de 20 de dezembro de 1996.</w:t>
      </w:r>
    </w:p>
    <w:p w:rsidR="00443D4A" w:rsidRPr="0041742A" w:rsidRDefault="00443D4A" w:rsidP="00443D4A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sz w:val="20"/>
          <w:szCs w:val="20"/>
        </w:rPr>
      </w:pPr>
      <w:r w:rsidRPr="0041742A">
        <w:rPr>
          <w:rFonts w:ascii="Arial" w:hAnsi="Arial" w:cs="Arial"/>
          <w:sz w:val="20"/>
          <w:szCs w:val="20"/>
        </w:rPr>
        <w:t>§ 1o Os recursos poderão ser aplicados pelos Estados e Municípios indistintamente entre etapas, modalidades e tipos de estabelecimento de ensino da educação básica nos seus respectivos âmbitos de atuação prioritária, conforme estabelecido nos §§ 2º e 3º do art. 211 da Constituição Federal.</w:t>
      </w:r>
    </w:p>
    <w:p w:rsidR="00443D4A" w:rsidRPr="0041742A" w:rsidRDefault="00443D4A" w:rsidP="00443D4A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0"/>
          <w:szCs w:val="20"/>
        </w:rPr>
        <w:t xml:space="preserve">§ 2o Até 5% (cinco por cento) dos recursos recebidos à conta dos Fundos, inclusive relativos à complementação da União recebidos nos termos do § 1o do art. 6o desta Lei, poderão ser utilizados no 1o (primeiro) trimestre do exercício imediatamente subsequente, mediante </w:t>
      </w:r>
      <w:r w:rsidRPr="0041742A">
        <w:rPr>
          <w:rFonts w:ascii="Arial" w:hAnsi="Arial" w:cs="Arial"/>
          <w:sz w:val="24"/>
          <w:szCs w:val="24"/>
        </w:rPr>
        <w:t>abertura de crédito adicional.</w:t>
      </w:r>
    </w:p>
    <w:p w:rsidR="00443D4A" w:rsidRPr="0041742A" w:rsidRDefault="00443D4A" w:rsidP="00443D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>Pela previsão contida no § 2º do artigo 21 supra, conclui-se que o Município deve aplicar, no mínimo, 95% (noventa e cinco por cento) dos recursos do FUNDEB dentro do próprio exercício financeiro em que ocorre a arrecadação.</w:t>
      </w:r>
    </w:p>
    <w:p w:rsidR="00443D4A" w:rsidRPr="0041742A" w:rsidRDefault="00443D4A" w:rsidP="00443D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 xml:space="preserve">No Exercício analisado o Município aplicou na manutenção e desenvolvimento da educação básica o valor de R$ </w:t>
      </w:r>
      <w:r w:rsidR="0041742A" w:rsidRPr="0041742A">
        <w:rPr>
          <w:rFonts w:ascii="Arial" w:hAnsi="Arial" w:cs="Arial"/>
          <w:sz w:val="24"/>
          <w:szCs w:val="24"/>
        </w:rPr>
        <w:t xml:space="preserve">3.040.886,77 </w:t>
      </w:r>
      <w:r w:rsidRPr="0041742A">
        <w:rPr>
          <w:rFonts w:ascii="Arial" w:hAnsi="Arial" w:cs="Arial"/>
          <w:sz w:val="24"/>
          <w:szCs w:val="24"/>
        </w:rPr>
        <w:t xml:space="preserve">equivalente a </w:t>
      </w:r>
      <w:r w:rsidR="0041742A" w:rsidRPr="0041742A">
        <w:rPr>
          <w:rFonts w:ascii="Arial" w:hAnsi="Arial" w:cs="Arial"/>
          <w:sz w:val="24"/>
          <w:szCs w:val="24"/>
        </w:rPr>
        <w:t>99,05</w:t>
      </w:r>
      <w:r w:rsidRPr="0041742A">
        <w:rPr>
          <w:rFonts w:ascii="Arial" w:hAnsi="Arial" w:cs="Arial"/>
          <w:sz w:val="24"/>
          <w:szCs w:val="24"/>
        </w:rPr>
        <w:t>% dos recursos do</w:t>
      </w:r>
      <w:proofErr w:type="gramStart"/>
      <w:r w:rsidRPr="0041742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1742A">
        <w:rPr>
          <w:rFonts w:ascii="Arial" w:hAnsi="Arial" w:cs="Arial"/>
          <w:sz w:val="24"/>
          <w:szCs w:val="24"/>
        </w:rPr>
        <w:t>FUND</w:t>
      </w:r>
      <w:r w:rsidR="0041742A" w:rsidRPr="0041742A">
        <w:rPr>
          <w:rFonts w:ascii="Arial" w:hAnsi="Arial" w:cs="Arial"/>
          <w:sz w:val="24"/>
          <w:szCs w:val="24"/>
        </w:rPr>
        <w:t>EB</w:t>
      </w:r>
      <w:r w:rsidRPr="0041742A">
        <w:rPr>
          <w:rFonts w:ascii="Arial" w:hAnsi="Arial" w:cs="Arial"/>
          <w:sz w:val="24"/>
          <w:szCs w:val="24"/>
        </w:rPr>
        <w:t>. Constata-se que fora aplicado limite mínimo de 95%, CUMPRINDO o disposto no artigo 21 da Lei Federal nº 11.494/2007.</w:t>
      </w:r>
    </w:p>
    <w:p w:rsidR="00443D4A" w:rsidRPr="0041742A" w:rsidRDefault="00443D4A" w:rsidP="00B007C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lastRenderedPageBreak/>
        <w:t>Órgão Central de Controle Interno da Prefeitura Municipal de Calmon em atendimento as exigências legais, notadamente o art.11 da Instrução Normativa N.TC-0020/2015, DE 31 DE AGOSTO DE 2015, Constituição Estadual e regulamentação própria deste município, para fins de Prestaçã</w:t>
      </w:r>
      <w:r w:rsidR="0041742A" w:rsidRPr="0041742A">
        <w:rPr>
          <w:rFonts w:ascii="Arial" w:hAnsi="Arial" w:cs="Arial"/>
          <w:sz w:val="24"/>
          <w:szCs w:val="24"/>
        </w:rPr>
        <w:t>o de Contas do exercício de 2020</w:t>
      </w:r>
      <w:r w:rsidRPr="0041742A">
        <w:rPr>
          <w:rFonts w:ascii="Arial" w:hAnsi="Arial" w:cs="Arial"/>
          <w:sz w:val="24"/>
          <w:szCs w:val="24"/>
        </w:rPr>
        <w:t>,</w:t>
      </w:r>
      <w:proofErr w:type="gramStart"/>
      <w:r w:rsidRPr="0041742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1742A">
        <w:rPr>
          <w:rFonts w:ascii="Arial" w:hAnsi="Arial" w:cs="Arial"/>
          <w:sz w:val="24"/>
          <w:szCs w:val="24"/>
        </w:rPr>
        <w:t xml:space="preserve">da Unidade Gestora Prefeitura Municipal  de Calmon, após análise do Relatório de Gestão ele submetido, é de parecer pela Aprovação das Contas de Gestão do </w:t>
      </w:r>
      <w:proofErr w:type="spellStart"/>
      <w:r w:rsidRPr="0041742A">
        <w:rPr>
          <w:rFonts w:ascii="Arial" w:hAnsi="Arial" w:cs="Arial"/>
          <w:sz w:val="24"/>
          <w:szCs w:val="24"/>
        </w:rPr>
        <w:t>Sr</w:t>
      </w:r>
      <w:proofErr w:type="spellEnd"/>
      <w:r w:rsidRPr="0041742A">
        <w:rPr>
          <w:rFonts w:ascii="Arial" w:hAnsi="Arial" w:cs="Arial"/>
          <w:sz w:val="24"/>
          <w:szCs w:val="24"/>
        </w:rPr>
        <w:t xml:space="preserve"> Pedro </w:t>
      </w:r>
      <w:proofErr w:type="spellStart"/>
      <w:r w:rsidRPr="0041742A">
        <w:rPr>
          <w:rFonts w:ascii="Arial" w:hAnsi="Arial" w:cs="Arial"/>
          <w:sz w:val="24"/>
          <w:szCs w:val="24"/>
        </w:rPr>
        <w:t>Spautz</w:t>
      </w:r>
      <w:proofErr w:type="spellEnd"/>
      <w:r w:rsidRPr="0041742A">
        <w:rPr>
          <w:rFonts w:ascii="Arial" w:hAnsi="Arial" w:cs="Arial"/>
          <w:sz w:val="24"/>
          <w:szCs w:val="24"/>
        </w:rPr>
        <w:t xml:space="preserve"> Netto Prefeito Municipa</w:t>
      </w:r>
      <w:r w:rsidR="0041742A" w:rsidRPr="0041742A">
        <w:rPr>
          <w:rFonts w:ascii="Arial" w:hAnsi="Arial" w:cs="Arial"/>
          <w:sz w:val="24"/>
          <w:szCs w:val="24"/>
        </w:rPr>
        <w:t>l, relativo ao exercício de 2020</w:t>
      </w:r>
      <w:r w:rsidRPr="0041742A">
        <w:rPr>
          <w:rFonts w:ascii="Arial" w:hAnsi="Arial" w:cs="Arial"/>
          <w:sz w:val="24"/>
          <w:szCs w:val="24"/>
        </w:rPr>
        <w:t xml:space="preserve"> para todos os fins legais.</w:t>
      </w:r>
    </w:p>
    <w:p w:rsidR="00B007C8" w:rsidRPr="0041742A" w:rsidRDefault="00B007C8" w:rsidP="00B007C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>Este parecer não elide nem respalda irregularidades não detectadas nos trabalhos desenvolvidos, nem isenta dos encaminhamentos administrativos e legais, tanto pelo tribunal de Contas do Estado de Santa Catarina como da Câmara Municipal.</w:t>
      </w:r>
    </w:p>
    <w:p w:rsidR="00B007C8" w:rsidRPr="0041742A" w:rsidRDefault="00B007C8" w:rsidP="004C4560">
      <w:pPr>
        <w:pStyle w:val="Recuodecorpodetexto2"/>
        <w:spacing w:after="0" w:line="360" w:lineRule="auto"/>
        <w:ind w:left="720"/>
        <w:jc w:val="both"/>
        <w:rPr>
          <w:rFonts w:ascii="Arial" w:hAnsi="Arial" w:cs="Arial"/>
        </w:rPr>
      </w:pPr>
    </w:p>
    <w:p w:rsidR="00B05048" w:rsidRDefault="0034432D" w:rsidP="00B05048">
      <w:pPr>
        <w:jc w:val="both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 xml:space="preserve">É o parecer. </w:t>
      </w:r>
      <w:r w:rsidR="00B05048" w:rsidRPr="0041742A">
        <w:rPr>
          <w:rFonts w:ascii="Arial" w:hAnsi="Arial" w:cs="Arial"/>
          <w:sz w:val="24"/>
          <w:szCs w:val="24"/>
        </w:rPr>
        <w:t xml:space="preserve"> </w:t>
      </w:r>
    </w:p>
    <w:p w:rsidR="0041742A" w:rsidRDefault="0041742A" w:rsidP="00B05048">
      <w:pPr>
        <w:jc w:val="both"/>
        <w:rPr>
          <w:rFonts w:ascii="Arial" w:hAnsi="Arial" w:cs="Arial"/>
          <w:sz w:val="24"/>
          <w:szCs w:val="24"/>
        </w:rPr>
      </w:pPr>
    </w:p>
    <w:p w:rsidR="0041742A" w:rsidRDefault="0041742A" w:rsidP="00B05048">
      <w:pPr>
        <w:jc w:val="both"/>
        <w:rPr>
          <w:rFonts w:ascii="Arial" w:hAnsi="Arial" w:cs="Arial"/>
          <w:sz w:val="24"/>
          <w:szCs w:val="24"/>
        </w:rPr>
      </w:pPr>
    </w:p>
    <w:p w:rsidR="0041742A" w:rsidRPr="0041742A" w:rsidRDefault="0041742A" w:rsidP="00B05048">
      <w:pPr>
        <w:jc w:val="both"/>
        <w:rPr>
          <w:rFonts w:ascii="Arial" w:hAnsi="Arial" w:cs="Arial"/>
          <w:sz w:val="24"/>
          <w:szCs w:val="24"/>
        </w:rPr>
      </w:pPr>
    </w:p>
    <w:p w:rsidR="00372CE4" w:rsidRPr="0041742A" w:rsidRDefault="0041742A" w:rsidP="00160C4C">
      <w:pPr>
        <w:jc w:val="right"/>
        <w:rPr>
          <w:rFonts w:ascii="Arial" w:hAnsi="Arial" w:cs="Arial"/>
          <w:sz w:val="24"/>
          <w:szCs w:val="24"/>
        </w:rPr>
      </w:pPr>
      <w:r w:rsidRPr="0041742A">
        <w:rPr>
          <w:rFonts w:ascii="Arial" w:hAnsi="Arial" w:cs="Arial"/>
          <w:sz w:val="24"/>
          <w:szCs w:val="24"/>
        </w:rPr>
        <w:t>Calmon, 26</w:t>
      </w:r>
      <w:r w:rsidR="00372CE4" w:rsidRPr="0041742A">
        <w:rPr>
          <w:rFonts w:ascii="Arial" w:hAnsi="Arial" w:cs="Arial"/>
          <w:sz w:val="24"/>
          <w:szCs w:val="24"/>
        </w:rPr>
        <w:t xml:space="preserve"> de </w:t>
      </w:r>
      <w:r w:rsidR="00160C4C" w:rsidRPr="0041742A">
        <w:rPr>
          <w:rFonts w:ascii="Arial" w:hAnsi="Arial" w:cs="Arial"/>
          <w:sz w:val="24"/>
          <w:szCs w:val="24"/>
        </w:rPr>
        <w:t>fevereir</w:t>
      </w:r>
      <w:r w:rsidRPr="0041742A">
        <w:rPr>
          <w:rFonts w:ascii="Arial" w:hAnsi="Arial" w:cs="Arial"/>
          <w:sz w:val="24"/>
          <w:szCs w:val="24"/>
        </w:rPr>
        <w:t>o</w:t>
      </w:r>
      <w:proofErr w:type="gramStart"/>
      <w:r w:rsidRPr="0041742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1742A">
        <w:rPr>
          <w:rFonts w:ascii="Arial" w:hAnsi="Arial" w:cs="Arial"/>
          <w:sz w:val="24"/>
          <w:szCs w:val="24"/>
        </w:rPr>
        <w:t>de 2021</w:t>
      </w:r>
      <w:r w:rsidR="00372CE4" w:rsidRPr="0041742A">
        <w:rPr>
          <w:rFonts w:ascii="Arial" w:hAnsi="Arial" w:cs="Arial"/>
          <w:sz w:val="24"/>
          <w:szCs w:val="24"/>
        </w:rPr>
        <w:t>.</w:t>
      </w:r>
    </w:p>
    <w:p w:rsidR="004B0669" w:rsidRPr="0041742A" w:rsidRDefault="004B0669" w:rsidP="00372CE4">
      <w:pPr>
        <w:jc w:val="both"/>
        <w:rPr>
          <w:rFonts w:ascii="Arial" w:hAnsi="Arial" w:cs="Arial"/>
        </w:rPr>
      </w:pPr>
    </w:p>
    <w:p w:rsidR="00160C4C" w:rsidRPr="0041742A" w:rsidRDefault="00160C4C" w:rsidP="00372CE4">
      <w:pPr>
        <w:jc w:val="both"/>
        <w:rPr>
          <w:rFonts w:ascii="Arial" w:hAnsi="Arial" w:cs="Arial"/>
        </w:rPr>
      </w:pPr>
    </w:p>
    <w:sectPr w:rsidR="00160C4C" w:rsidRPr="0041742A" w:rsidSect="003727C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CB" w:rsidRDefault="006F11CB" w:rsidP="00ED5B34">
      <w:pPr>
        <w:spacing w:after="0" w:line="240" w:lineRule="auto"/>
      </w:pPr>
      <w:r>
        <w:separator/>
      </w:r>
    </w:p>
  </w:endnote>
  <w:endnote w:type="continuationSeparator" w:id="0">
    <w:p w:rsidR="006F11CB" w:rsidRDefault="006F11CB" w:rsidP="00ED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CB" w:rsidRDefault="006F11CB" w:rsidP="00ED5B34">
      <w:pPr>
        <w:spacing w:after="0" w:line="240" w:lineRule="auto"/>
      </w:pPr>
      <w:r>
        <w:separator/>
      </w:r>
    </w:p>
  </w:footnote>
  <w:footnote w:type="continuationSeparator" w:id="0">
    <w:p w:rsidR="006F11CB" w:rsidRDefault="006F11CB" w:rsidP="00ED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591" w:type="dxa"/>
      <w:tblInd w:w="-3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"/>
      <w:gridCol w:w="3484"/>
      <w:gridCol w:w="11377"/>
      <w:gridCol w:w="1671"/>
    </w:tblGrid>
    <w:tr w:rsidR="00ED5B34" w:rsidRPr="005321A4" w:rsidTr="00426550">
      <w:trPr>
        <w:gridBefore w:val="1"/>
        <w:gridAfter w:val="1"/>
        <w:wBefore w:w="38" w:type="dxa"/>
        <w:wAfter w:w="1076" w:type="dxa"/>
        <w:cantSplit/>
        <w:trHeight w:val="131"/>
      </w:trPr>
      <w:tc>
        <w:tcPr>
          <w:tcW w:w="9568" w:type="dxa"/>
          <w:gridSpan w:val="2"/>
          <w:hideMark/>
        </w:tcPr>
        <w:p w:rsidR="00ED5B34" w:rsidRPr="005321A4" w:rsidRDefault="00ED5B34" w:rsidP="00426550">
          <w:pPr>
            <w:pStyle w:val="Ttulo"/>
            <w:jc w:val="left"/>
            <w:rPr>
              <w:i/>
              <w:color w:val="000000"/>
              <w:u w:val="none"/>
            </w:rPr>
          </w:pPr>
        </w:p>
      </w:tc>
    </w:tr>
    <w:tr w:rsidR="00ED5B34" w:rsidRPr="00D85D64" w:rsidTr="00426550">
      <w:tblPrEx>
        <w:tblCellMar>
          <w:left w:w="108" w:type="dxa"/>
          <w:right w:w="108" w:type="dxa"/>
        </w:tblCellMar>
      </w:tblPrEx>
      <w:tc>
        <w:tcPr>
          <w:tcW w:w="2281" w:type="dxa"/>
          <w:gridSpan w:val="2"/>
        </w:tcPr>
        <w:p w:rsidR="00ED5B34" w:rsidRPr="00D85D64" w:rsidRDefault="00ED5B34" w:rsidP="00426550">
          <w:pPr>
            <w:pStyle w:val="Cabealho"/>
            <w:rPr>
              <w:rFonts w:ascii="Microsoft Sans Serif" w:hAnsi="Microsoft Sans Serif" w:cs="Microsoft Sans Serif"/>
            </w:rPr>
          </w:pPr>
          <w:r>
            <w:rPr>
              <w:b/>
              <w:noProof/>
              <w:color w:val="000000"/>
              <w:lang w:eastAsia="pt-BR"/>
            </w:rPr>
            <w:drawing>
              <wp:inline distT="0" distB="0" distL="0" distR="0" wp14:anchorId="2C30E5C1" wp14:editId="6AEAE724">
                <wp:extent cx="1314450" cy="1495425"/>
                <wp:effectExtent l="0" t="0" r="0" b="9525"/>
                <wp:docPr id="5" name="Imagem 5" descr="Brasão calm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calm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1" w:type="dxa"/>
          <w:gridSpan w:val="2"/>
        </w:tcPr>
        <w:p w:rsidR="00ED5B34" w:rsidRDefault="00ED5B34" w:rsidP="00426550">
          <w:pPr>
            <w:pStyle w:val="Cabealho"/>
            <w:spacing w:after="120"/>
            <w:rPr>
              <w:b/>
              <w:bCs/>
              <w:sz w:val="28"/>
            </w:rPr>
          </w:pPr>
        </w:p>
        <w:p w:rsidR="00ED5B34" w:rsidRDefault="00ED5B34" w:rsidP="00426550">
          <w:pPr>
            <w:pStyle w:val="Cabealho"/>
            <w:spacing w:after="120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Estado de Santa Catarina</w:t>
          </w:r>
        </w:p>
        <w:p w:rsidR="00ED5B34" w:rsidRPr="00E42534" w:rsidRDefault="00ED5B34" w:rsidP="00426550">
          <w:pPr>
            <w:pStyle w:val="Cabealho"/>
            <w:spacing w:after="120"/>
            <w:rPr>
              <w:b/>
              <w:bCs/>
              <w:sz w:val="28"/>
            </w:rPr>
          </w:pPr>
          <w:r w:rsidRPr="00E42534">
            <w:rPr>
              <w:b/>
              <w:bCs/>
              <w:sz w:val="28"/>
            </w:rPr>
            <w:t xml:space="preserve">PREFEITURA MUNICIPAL DE </w:t>
          </w:r>
          <w:r>
            <w:rPr>
              <w:b/>
              <w:bCs/>
              <w:sz w:val="28"/>
            </w:rPr>
            <w:t>CALMON</w:t>
          </w:r>
        </w:p>
        <w:p w:rsidR="00ED5B34" w:rsidRDefault="00ED5B34" w:rsidP="00426550">
          <w:pPr>
            <w:pStyle w:val="Cabealho"/>
            <w:spacing w:after="120"/>
            <w:rPr>
              <w:rFonts w:ascii="Microsoft Sans Serif" w:hAnsi="Microsoft Sans Serif" w:cs="Microsoft Sans Serif"/>
            </w:rPr>
          </w:pPr>
          <w:r>
            <w:rPr>
              <w:rFonts w:ascii="Microsoft Sans Serif" w:hAnsi="Microsoft Sans Serif" w:cs="Microsoft Sans Serif"/>
            </w:rPr>
            <w:t xml:space="preserve">RUA MIGUEL DZUMANN, </w:t>
          </w:r>
          <w:proofErr w:type="gramStart"/>
          <w:r>
            <w:rPr>
              <w:rFonts w:ascii="Microsoft Sans Serif" w:hAnsi="Microsoft Sans Serif" w:cs="Microsoft Sans Serif"/>
            </w:rPr>
            <w:t>315</w:t>
          </w:r>
          <w:proofErr w:type="gramEnd"/>
        </w:p>
        <w:p w:rsidR="00ED5B34" w:rsidRPr="00D85D64" w:rsidRDefault="00ED5B34" w:rsidP="00426550">
          <w:pPr>
            <w:pStyle w:val="Cabealho"/>
            <w:spacing w:after="120"/>
            <w:rPr>
              <w:rFonts w:ascii="Microsoft Sans Serif" w:hAnsi="Microsoft Sans Serif" w:cs="Microsoft Sans Serif"/>
            </w:rPr>
          </w:pPr>
          <w:r>
            <w:rPr>
              <w:rFonts w:ascii="Microsoft Sans Serif" w:hAnsi="Microsoft Sans Serif" w:cs="Microsoft Sans Serif"/>
            </w:rPr>
            <w:t>CNPJ 95.949.806/0001-37</w:t>
          </w:r>
        </w:p>
      </w:tc>
    </w:tr>
  </w:tbl>
  <w:p w:rsidR="00ED5B34" w:rsidRDefault="00ED5B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8CE"/>
    <w:multiLevelType w:val="hybridMultilevel"/>
    <w:tmpl w:val="D72406C2"/>
    <w:lvl w:ilvl="0" w:tplc="BF384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323149"/>
    <w:multiLevelType w:val="hybridMultilevel"/>
    <w:tmpl w:val="3A262C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A4898"/>
    <w:multiLevelType w:val="hybridMultilevel"/>
    <w:tmpl w:val="3A262C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16918"/>
    <w:multiLevelType w:val="hybridMultilevel"/>
    <w:tmpl w:val="3A262C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048"/>
    <w:rsid w:val="000532E0"/>
    <w:rsid w:val="000911E7"/>
    <w:rsid w:val="000949E5"/>
    <w:rsid w:val="000C74D3"/>
    <w:rsid w:val="000D5F41"/>
    <w:rsid w:val="000F1C57"/>
    <w:rsid w:val="001049AD"/>
    <w:rsid w:val="001363C8"/>
    <w:rsid w:val="00160C4C"/>
    <w:rsid w:val="00162CE1"/>
    <w:rsid w:val="001A44ED"/>
    <w:rsid w:val="001B4E47"/>
    <w:rsid w:val="001E117E"/>
    <w:rsid w:val="0022507A"/>
    <w:rsid w:val="0024235F"/>
    <w:rsid w:val="00266D09"/>
    <w:rsid w:val="002726BB"/>
    <w:rsid w:val="0028633A"/>
    <w:rsid w:val="002E4B8C"/>
    <w:rsid w:val="0034432D"/>
    <w:rsid w:val="00363CCA"/>
    <w:rsid w:val="003727CB"/>
    <w:rsid w:val="00372CE4"/>
    <w:rsid w:val="00375640"/>
    <w:rsid w:val="003936E9"/>
    <w:rsid w:val="003B12AA"/>
    <w:rsid w:val="003B20B1"/>
    <w:rsid w:val="00413563"/>
    <w:rsid w:val="00416DA4"/>
    <w:rsid w:val="0041742A"/>
    <w:rsid w:val="00421C97"/>
    <w:rsid w:val="00443D4A"/>
    <w:rsid w:val="004472AB"/>
    <w:rsid w:val="004B0669"/>
    <w:rsid w:val="004C4560"/>
    <w:rsid w:val="0055464F"/>
    <w:rsid w:val="0057194C"/>
    <w:rsid w:val="00571D42"/>
    <w:rsid w:val="00574AAC"/>
    <w:rsid w:val="00582277"/>
    <w:rsid w:val="00591FF8"/>
    <w:rsid w:val="005B59F5"/>
    <w:rsid w:val="005C7F4C"/>
    <w:rsid w:val="005F65E5"/>
    <w:rsid w:val="00672C8B"/>
    <w:rsid w:val="006F11CB"/>
    <w:rsid w:val="00706C08"/>
    <w:rsid w:val="00742730"/>
    <w:rsid w:val="007711F4"/>
    <w:rsid w:val="00791D33"/>
    <w:rsid w:val="00795DB5"/>
    <w:rsid w:val="007A4CBE"/>
    <w:rsid w:val="007D3D26"/>
    <w:rsid w:val="008E3D5F"/>
    <w:rsid w:val="0096578B"/>
    <w:rsid w:val="009F5BFF"/>
    <w:rsid w:val="00AE53BB"/>
    <w:rsid w:val="00B007C8"/>
    <w:rsid w:val="00B05048"/>
    <w:rsid w:val="00B160A4"/>
    <w:rsid w:val="00B27DEA"/>
    <w:rsid w:val="00B53CDD"/>
    <w:rsid w:val="00C0510B"/>
    <w:rsid w:val="00C12B59"/>
    <w:rsid w:val="00C15BEC"/>
    <w:rsid w:val="00C50189"/>
    <w:rsid w:val="00C506C2"/>
    <w:rsid w:val="00C83B1E"/>
    <w:rsid w:val="00CF4019"/>
    <w:rsid w:val="00D9038A"/>
    <w:rsid w:val="00E04B48"/>
    <w:rsid w:val="00E20B3B"/>
    <w:rsid w:val="00E338C2"/>
    <w:rsid w:val="00E60D29"/>
    <w:rsid w:val="00E70068"/>
    <w:rsid w:val="00EC496A"/>
    <w:rsid w:val="00ED5B34"/>
    <w:rsid w:val="00F0724E"/>
    <w:rsid w:val="00F216EA"/>
    <w:rsid w:val="00F358F2"/>
    <w:rsid w:val="00FD6732"/>
    <w:rsid w:val="00FE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5719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719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4B8C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ED5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5B34"/>
  </w:style>
  <w:style w:type="paragraph" w:styleId="Rodap">
    <w:name w:val="footer"/>
    <w:basedOn w:val="Normal"/>
    <w:link w:val="RodapChar"/>
    <w:uiPriority w:val="99"/>
    <w:unhideWhenUsed/>
    <w:rsid w:val="00ED5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5B34"/>
  </w:style>
  <w:style w:type="paragraph" w:styleId="Ttulo">
    <w:name w:val="Title"/>
    <w:basedOn w:val="Normal"/>
    <w:link w:val="TtuloChar"/>
    <w:qFormat/>
    <w:rsid w:val="00ED5B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ED5B34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1215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2021-02-26T20:46:00Z</cp:lastPrinted>
  <dcterms:created xsi:type="dcterms:W3CDTF">2017-02-24T12:33:00Z</dcterms:created>
  <dcterms:modified xsi:type="dcterms:W3CDTF">2021-02-26T20:47:00Z</dcterms:modified>
</cp:coreProperties>
</file>